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39CD8BBF"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w:t>
      </w:r>
      <w:r w:rsidR="00C06FF6">
        <w:rPr>
          <w:rFonts w:ascii="Arial" w:eastAsiaTheme="minorEastAsia" w:hAnsi="Arial" w:cs="Arial"/>
          <w:b/>
          <w:bCs/>
          <w:lang w:val="en-US" w:eastAsia="zh-CN"/>
        </w:rPr>
        <w:t>1</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315153">
        <w:rPr>
          <w:rFonts w:ascii="Arial" w:eastAsiaTheme="minorEastAsia" w:hAnsi="Arial" w:cs="Arial"/>
          <w:b/>
          <w:bCs/>
          <w:lang w:val="en-US" w:eastAsia="zh-CN"/>
        </w:rPr>
        <w:t>5</w:t>
      </w:r>
      <w:r w:rsidR="00CC65CC">
        <w:rPr>
          <w:rFonts w:ascii="Arial" w:eastAsiaTheme="minorEastAsia" w:hAnsi="Arial" w:cs="Arial"/>
          <w:b/>
          <w:bCs/>
          <w:lang w:val="en-US" w:eastAsia="zh-CN"/>
        </w:rPr>
        <w:t>0</w:t>
      </w:r>
      <w:r w:rsidR="007A1FBC">
        <w:rPr>
          <w:rFonts w:ascii="Arial" w:eastAsiaTheme="minorEastAsia" w:hAnsi="Arial" w:cs="Arial" w:hint="eastAsia"/>
          <w:b/>
          <w:bCs/>
          <w:lang w:val="en-US" w:eastAsia="zh-CN"/>
        </w:rPr>
        <w:t>6126</w:t>
      </w:r>
    </w:p>
    <w:p w14:paraId="54E81C2D" w14:textId="7365A2DC" w:rsidR="004463DD" w:rsidRPr="005178E3" w:rsidRDefault="00C06FF6">
      <w:pPr>
        <w:overflowPunct w:val="0"/>
        <w:autoSpaceDE w:val="0"/>
        <w:autoSpaceDN w:val="0"/>
        <w:adjustRightInd w:val="0"/>
        <w:snapToGrid w:val="0"/>
        <w:spacing w:beforeLines="50" w:before="156"/>
        <w:textAlignment w:val="baseline"/>
        <w:rPr>
          <w:rFonts w:ascii="Arial" w:hAnsi="Arial" w:cs="Arial"/>
          <w:b/>
          <w:bCs/>
          <w:kern w:val="0"/>
          <w:sz w:val="24"/>
        </w:rPr>
      </w:pPr>
      <w:r w:rsidRPr="00C06FF6">
        <w:rPr>
          <w:rFonts w:ascii="Arial" w:hAnsi="Arial" w:cs="Arial"/>
          <w:b/>
          <w:bCs/>
          <w:kern w:val="0"/>
          <w:sz w:val="24"/>
        </w:rPr>
        <w:t xml:space="preserve">Bangalore, </w:t>
      </w:r>
      <w:proofErr w:type="gramStart"/>
      <w:r w:rsidRPr="00C06FF6">
        <w:rPr>
          <w:rFonts w:ascii="Arial" w:hAnsi="Arial" w:cs="Arial"/>
          <w:b/>
          <w:bCs/>
          <w:kern w:val="0"/>
          <w:sz w:val="24"/>
        </w:rPr>
        <w:t>India  Aug</w:t>
      </w:r>
      <w:proofErr w:type="gramEnd"/>
      <w:r w:rsidRPr="00C06FF6">
        <w:rPr>
          <w:rFonts w:ascii="Arial" w:hAnsi="Arial" w:cs="Arial"/>
          <w:b/>
          <w:bCs/>
          <w:kern w:val="0"/>
          <w:sz w:val="24"/>
        </w:rPr>
        <w:t xml:space="preserve"> 25th – 29th , 2025</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268E425C"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functionality management for </w:t>
      </w:r>
      <w:r w:rsidR="00C06FF6">
        <w:rPr>
          <w:rFonts w:ascii="Arial" w:hAnsi="Arial" w:cs="Arial"/>
          <w:b/>
          <w:bCs/>
          <w:snapToGrid w:val="0"/>
          <w:kern w:val="0"/>
          <w:sz w:val="24"/>
        </w:rPr>
        <w:t>RRM measurement prediction</w:t>
      </w:r>
    </w:p>
    <w:p w14:paraId="6EB047BE" w14:textId="6DC47A2A"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DC79FF" w:rsidRPr="00DC79FF">
        <w:rPr>
          <w:rFonts w:ascii="Arial" w:hAnsi="Arial" w:cs="Arial"/>
          <w:b/>
          <w:bCs/>
          <w:snapToGrid w:val="0"/>
          <w:kern w:val="0"/>
          <w:sz w:val="24"/>
        </w:rPr>
        <w:t>8.3.</w:t>
      </w:r>
      <w:r w:rsidR="00972C5A">
        <w:rPr>
          <w:rFonts w:ascii="Arial" w:hAnsi="Arial" w:cs="Arial"/>
          <w:b/>
          <w:bCs/>
          <w:snapToGrid w:val="0"/>
          <w:kern w:val="0"/>
          <w:sz w:val="24"/>
        </w:rPr>
        <w:t>2</w:t>
      </w:r>
      <w:r w:rsidR="00C06FF6">
        <w:rPr>
          <w:rFonts w:ascii="Arial" w:hAnsi="Arial" w:cs="Arial"/>
          <w:b/>
          <w:bCs/>
          <w:snapToGrid w:val="0"/>
          <w:kern w:val="0"/>
          <w:sz w:val="24"/>
        </w:rPr>
        <w:t>.1</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29723BF" w14:textId="53C09661" w:rsidR="009E5870" w:rsidRDefault="00972C5A" w:rsidP="00585120">
      <w:pPr>
        <w:spacing w:beforeLines="50" w:before="156"/>
        <w:rPr>
          <w:szCs w:val="20"/>
        </w:rPr>
      </w:pPr>
      <w:r>
        <w:rPr>
          <w:szCs w:val="20"/>
        </w:rPr>
        <w:t xml:space="preserve">In the last meeting, </w:t>
      </w:r>
      <w:r w:rsidR="00957393">
        <w:rPr>
          <w:szCs w:val="20"/>
        </w:rPr>
        <w:t>RAN2 has discussed</w:t>
      </w:r>
      <w:r w:rsidR="009E5870">
        <w:rPr>
          <w:szCs w:val="20"/>
        </w:rPr>
        <w:t xml:space="preserve"> functionality management for RRM measurement prediction, and reached some agreements. In this contribution, we’d like to share our view on the applicability procedure, inference configuration/reporting and performance monitoring for UE sided model for RRM measurement prediction.</w:t>
      </w:r>
    </w:p>
    <w:p w14:paraId="77D31AE7" w14:textId="0482F42E" w:rsidR="00A65478" w:rsidRPr="00A65478" w:rsidRDefault="00676695" w:rsidP="00A6547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66C73C86" w14:textId="215DFF51" w:rsidR="003B02B2" w:rsidRPr="00707C19" w:rsidRDefault="00C06FF6" w:rsidP="00707C19">
      <w:pPr>
        <w:pStyle w:val="2"/>
      </w:pPr>
      <w:r w:rsidRPr="00707C19">
        <w:rPr>
          <w:rFonts w:hint="eastAsia"/>
        </w:rPr>
        <w:t>2</w:t>
      </w:r>
      <w:r w:rsidRPr="00707C19">
        <w:t>.</w:t>
      </w:r>
      <w:r w:rsidR="00D5694F" w:rsidRPr="00707C19">
        <w:t>1</w:t>
      </w:r>
      <w:r w:rsidRPr="00707C19">
        <w:t xml:space="preserve"> </w:t>
      </w:r>
      <w:r w:rsidR="00693574" w:rsidRPr="00707C19">
        <w:t>Applicability</w:t>
      </w:r>
      <w:r w:rsidR="008171BF">
        <w:t xml:space="preserve"> configuration and</w:t>
      </w:r>
      <w:r w:rsidR="000C6CE5" w:rsidRPr="00707C19">
        <w:t xml:space="preserve"> </w:t>
      </w:r>
      <w:r w:rsidR="002947E8" w:rsidRPr="00707C19">
        <w:t>reporting</w:t>
      </w:r>
      <w:bookmarkStart w:id="3" w:name="_Hlk193985997"/>
    </w:p>
    <w:p w14:paraId="5151A0AD" w14:textId="77777777" w:rsidR="00BF37BC" w:rsidRDefault="00BF37BC" w:rsidP="00BF37BC">
      <w:r w:rsidRPr="001C7810">
        <w:t>In the last meeting, we have agreed to consider option A and Option B like scheme, as follows. In this sub-section, we’d like to discuss the applicability configuration and reporting for option A and option B, separately.</w:t>
      </w:r>
    </w:p>
    <w:tbl>
      <w:tblPr>
        <w:tblStyle w:val="aff0"/>
        <w:tblW w:w="0" w:type="auto"/>
        <w:tblLook w:val="04A0" w:firstRow="1" w:lastRow="0" w:firstColumn="1" w:lastColumn="0" w:noHBand="0" w:noVBand="1"/>
      </w:tblPr>
      <w:tblGrid>
        <w:gridCol w:w="9771"/>
      </w:tblGrid>
      <w:tr w:rsidR="00BF37BC" w14:paraId="1FCCEFC9" w14:textId="77777777" w:rsidTr="001B2E8C">
        <w:tc>
          <w:tcPr>
            <w:tcW w:w="9771" w:type="dxa"/>
          </w:tcPr>
          <w:p w14:paraId="357BC3C0" w14:textId="77777777" w:rsidR="00BF37BC" w:rsidRDefault="00BF37BC" w:rsidP="001B2E8C">
            <w:pPr>
              <w:rPr>
                <w:lang w:eastAsia="zh-CN"/>
              </w:rPr>
            </w:pPr>
            <w:r>
              <w:rPr>
                <w:rFonts w:hint="eastAsia"/>
                <w:lang w:eastAsia="zh-CN"/>
              </w:rPr>
              <w:t>R</w:t>
            </w:r>
            <w:r>
              <w:rPr>
                <w:lang w:eastAsia="zh-CN"/>
              </w:rPr>
              <w:t>AN2 130:</w:t>
            </w:r>
          </w:p>
          <w:p w14:paraId="6811608F" w14:textId="77777777" w:rsidR="00BF37BC" w:rsidRPr="00941227" w:rsidRDefault="00BF37BC" w:rsidP="00BF37BC">
            <w:pPr>
              <w:numPr>
                <w:ilvl w:val="0"/>
                <w:numId w:val="28"/>
              </w:numPr>
            </w:pPr>
            <w:r w:rsidRPr="00941227">
              <w:rPr>
                <w:lang w:val="en-GB"/>
              </w:rPr>
              <w:t xml:space="preserve">Use the beam management agreements as the baseline, including the following aspects (details can be updated after further progress is made in AI/ML PHY BM use case) </w:t>
            </w:r>
          </w:p>
          <w:p w14:paraId="7DB2368C" w14:textId="77777777" w:rsidR="00BF37BC" w:rsidRPr="00941227" w:rsidRDefault="00BF37BC" w:rsidP="001B2E8C">
            <w:pPr>
              <w:ind w:leftChars="300" w:left="600"/>
            </w:pPr>
            <w:r w:rsidRPr="00941227">
              <w:rPr>
                <w:highlight w:val="yellow"/>
                <w:lang w:val="en-GB"/>
              </w:rPr>
              <w:t>•</w:t>
            </w:r>
            <w:r w:rsidRPr="00941227">
              <w:rPr>
                <w:highlight w:val="yellow"/>
                <w:lang w:val="en-GB"/>
              </w:rPr>
              <w:tab/>
              <w:t>Consider Option A and Option B like scheme (if/when AI/ML PHY makes further progress)</w:t>
            </w:r>
          </w:p>
          <w:p w14:paraId="38E38894" w14:textId="77777777" w:rsidR="00BF37BC" w:rsidRPr="00941227" w:rsidRDefault="00BF37BC" w:rsidP="001B2E8C">
            <w:pPr>
              <w:ind w:leftChars="300" w:left="600"/>
            </w:pPr>
            <w:r w:rsidRPr="00941227">
              <w:rPr>
                <w:lang w:val="en-GB"/>
              </w:rPr>
              <w:t>•</w:t>
            </w:r>
            <w:r w:rsidRPr="00941227">
              <w:rPr>
                <w:lang w:val="en-GB"/>
              </w:rPr>
              <w:tab/>
              <w:t xml:space="preserve">Upon receiving a full inference configuration, the UE sends the initial applicability report in </w:t>
            </w:r>
            <w:proofErr w:type="spellStart"/>
            <w:r w:rsidRPr="00941227">
              <w:rPr>
                <w:lang w:val="en-GB"/>
              </w:rPr>
              <w:t>RRCReconfigurationComplete</w:t>
            </w:r>
            <w:proofErr w:type="spellEnd"/>
            <w:r w:rsidRPr="00941227">
              <w:rPr>
                <w:lang w:val="en-GB"/>
              </w:rPr>
              <w:t>. UAI can be sent to update applicability.</w:t>
            </w:r>
          </w:p>
          <w:p w14:paraId="0BFB6904" w14:textId="77777777" w:rsidR="00BF37BC" w:rsidRPr="00941227" w:rsidRDefault="00BF37BC" w:rsidP="001B2E8C">
            <w:pPr>
              <w:ind w:leftChars="300" w:left="600"/>
            </w:pPr>
            <w:r w:rsidRPr="00941227">
              <w:rPr>
                <w:lang w:val="en-GB"/>
              </w:rPr>
              <w:t>•</w:t>
            </w:r>
            <w:r w:rsidRPr="00941227">
              <w:rPr>
                <w:lang w:val="en-GB"/>
              </w:rPr>
              <w:tab/>
              <w:t xml:space="preserve">Upon receiving one or more full inference configuration(s) via </w:t>
            </w:r>
            <w:proofErr w:type="spellStart"/>
            <w:r w:rsidRPr="00941227">
              <w:rPr>
                <w:lang w:val="en-GB"/>
              </w:rPr>
              <w:t>RRCReconfiguration</w:t>
            </w:r>
            <w:proofErr w:type="spellEnd"/>
            <w:r w:rsidRPr="00941227">
              <w:rPr>
                <w:lang w:val="en-GB"/>
              </w:rPr>
              <w:t xml:space="preserve"> message, UE shall maintain all the full inference configuration(s) no matter the full inference configuration is applicable or inapplicable until the network releases it explicitly.</w:t>
            </w:r>
          </w:p>
          <w:p w14:paraId="46F86A5C" w14:textId="77777777" w:rsidR="00BF37BC" w:rsidRPr="00941227" w:rsidRDefault="00BF37BC" w:rsidP="001B2E8C">
            <w:pPr>
              <w:ind w:leftChars="300" w:left="600"/>
            </w:pPr>
            <w:r w:rsidRPr="00941227">
              <w:rPr>
                <w:lang w:val="en-GB"/>
              </w:rPr>
              <w:t>•</w:t>
            </w:r>
            <w:r w:rsidRPr="00941227">
              <w:rPr>
                <w:lang w:val="en-GB"/>
              </w:rPr>
              <w:tab/>
              <w:t>Support the explicit reporting of applicability/inapplicability in the initial report and subsequent reporting when the applicability changes.</w:t>
            </w:r>
          </w:p>
          <w:p w14:paraId="43153632" w14:textId="77777777" w:rsidR="00BF37BC" w:rsidRPr="00941227" w:rsidRDefault="00BF37BC" w:rsidP="001B2E8C">
            <w:pPr>
              <w:ind w:leftChars="300" w:left="600"/>
            </w:pPr>
            <w:r w:rsidRPr="00941227">
              <w:rPr>
                <w:lang w:val="en-GB"/>
              </w:rPr>
              <w:t>•</w:t>
            </w:r>
            <w:r w:rsidRPr="00941227">
              <w:rPr>
                <w:lang w:val="en-GB"/>
              </w:rPr>
              <w:tab/>
              <w:t>Together with inapplicability reporting, UE further indicates a simple cause value of inapplicability (FFS pending AI/ML PHY progress).</w:t>
            </w:r>
          </w:p>
        </w:tc>
      </w:tr>
    </w:tbl>
    <w:p w14:paraId="40D3C2A5" w14:textId="0B12D8D1" w:rsidR="00C55FC9" w:rsidRPr="00283B44" w:rsidRDefault="00283B44" w:rsidP="00703974">
      <w:pPr>
        <w:spacing w:before="120"/>
        <w:rPr>
          <w:b/>
          <w:i/>
          <w:u w:val="single"/>
        </w:rPr>
      </w:pPr>
      <w:r w:rsidRPr="00DD4911">
        <w:rPr>
          <w:rFonts w:hint="eastAsia"/>
          <w:b/>
          <w:i/>
          <w:u w:val="single"/>
        </w:rPr>
        <w:t>F</w:t>
      </w:r>
      <w:r w:rsidRPr="00DD4911">
        <w:rPr>
          <w:b/>
          <w:i/>
          <w:u w:val="single"/>
        </w:rPr>
        <w:t>or Option A-_full inference configuration</w:t>
      </w:r>
    </w:p>
    <w:p w14:paraId="3171C4EC" w14:textId="6C928D76" w:rsidR="00283B44" w:rsidRPr="005F6C58" w:rsidRDefault="005F6C58" w:rsidP="00A23E53">
      <w:r w:rsidRPr="005F6C58">
        <w:t>Similar</w:t>
      </w:r>
      <w:r w:rsidR="00937D03">
        <w:t xml:space="preserve"> to RRM measurement prediction</w:t>
      </w:r>
      <w:r w:rsidRPr="005F6C58">
        <w:t xml:space="preserve">, we think the existing RRM framework </w:t>
      </w:r>
      <w:r>
        <w:t>can be</w:t>
      </w:r>
      <w:r w:rsidRPr="005F6C58">
        <w:t xml:space="preserve"> reused to provide full inference configuration to the UE</w:t>
      </w:r>
      <w:r w:rsidR="00A033F8">
        <w:t xml:space="preserve"> for measurement event predictio</w:t>
      </w:r>
      <w:r w:rsidR="00A033F8">
        <w:rPr>
          <w:rFonts w:hint="eastAsia"/>
        </w:rPr>
        <w:t>n</w:t>
      </w:r>
      <w:r w:rsidRPr="005F6C58">
        <w:t xml:space="preserve">. In the </w:t>
      </w:r>
      <w:r w:rsidR="000F23E2">
        <w:t>current spec</w:t>
      </w:r>
      <w:r w:rsidRPr="005F6C58">
        <w:t xml:space="preserve">, the </w:t>
      </w:r>
      <w:proofErr w:type="spellStart"/>
      <w:r w:rsidRPr="005F6C58">
        <w:rPr>
          <w:i/>
        </w:rPr>
        <w:t>MeasObjectNR</w:t>
      </w:r>
      <w:proofErr w:type="spellEnd"/>
      <w:r w:rsidRPr="005F6C58">
        <w:t xml:space="preserve"> is used to indicate the frequency that the UE should perform measurement on. Similarly, we think the frequency indicated by </w:t>
      </w:r>
      <w:proofErr w:type="spellStart"/>
      <w:r w:rsidRPr="00BC54A5">
        <w:rPr>
          <w:i/>
        </w:rPr>
        <w:t>MeasObject</w:t>
      </w:r>
      <w:r w:rsidR="00BC54A5" w:rsidRPr="00BC54A5">
        <w:rPr>
          <w:i/>
        </w:rPr>
        <w:t>NR</w:t>
      </w:r>
      <w:proofErr w:type="spellEnd"/>
      <w:r w:rsidRPr="005F6C58">
        <w:t xml:space="preserve"> is the frequency that the UE should perform prediction on.</w:t>
      </w:r>
    </w:p>
    <w:p w14:paraId="0068FAE4" w14:textId="6D05079A" w:rsidR="00A23E53" w:rsidRPr="00DF6664" w:rsidRDefault="00A23E53" w:rsidP="00A23E53">
      <w:pPr>
        <w:ind w:left="1132" w:hangingChars="564" w:hanging="1132"/>
        <w:rPr>
          <w:b/>
        </w:rPr>
      </w:pPr>
      <w:r>
        <w:rPr>
          <w:b/>
        </w:rPr>
        <w:lastRenderedPageBreak/>
        <w:t xml:space="preserve">Proposal </w:t>
      </w:r>
      <w:r w:rsidR="00DD4648">
        <w:rPr>
          <w:b/>
        </w:rPr>
        <w:t>1</w:t>
      </w:r>
      <w:r>
        <w:rPr>
          <w:b/>
        </w:rPr>
        <w:tab/>
      </w:r>
      <w:r w:rsidR="00C55FC9" w:rsidRPr="00DF6664">
        <w:rPr>
          <w:b/>
        </w:rPr>
        <w:t xml:space="preserve"> </w:t>
      </w:r>
      <w:r w:rsidR="009176C1">
        <w:rPr>
          <w:b/>
        </w:rPr>
        <w:t>For Option A, t</w:t>
      </w:r>
      <w:r w:rsidR="00C55FC9">
        <w:rPr>
          <w:b/>
        </w:rPr>
        <w:t>he existing RRM framework is reused to provide the full inference configuration to the UE.</w:t>
      </w:r>
      <w:r>
        <w:rPr>
          <w:b/>
        </w:rPr>
        <w:t xml:space="preserve"> The frequency indicated by </w:t>
      </w:r>
      <w:proofErr w:type="spellStart"/>
      <w:r w:rsidRPr="00DD4648">
        <w:rPr>
          <w:b/>
          <w:i/>
        </w:rPr>
        <w:t>MeasObject</w:t>
      </w:r>
      <w:r w:rsidR="00DD4648" w:rsidRPr="00DD4648">
        <w:rPr>
          <w:b/>
          <w:i/>
        </w:rPr>
        <w:t>NR</w:t>
      </w:r>
      <w:proofErr w:type="spellEnd"/>
      <w:r>
        <w:rPr>
          <w:b/>
        </w:rPr>
        <w:t xml:space="preserve"> is the frequency that UE should perform prediction on.</w:t>
      </w:r>
    </w:p>
    <w:p w14:paraId="01D019B2" w14:textId="33EC140B" w:rsidR="00C55FC9" w:rsidRDefault="00BC54A5" w:rsidP="00A23E53">
      <w:r w:rsidRPr="00BC54A5">
        <w:t xml:space="preserve">Upon receiving a list of full inference configuration, the UE can check whether the corresponding inference configuration is applicable or not per </w:t>
      </w:r>
      <w:proofErr w:type="spellStart"/>
      <w:r w:rsidRPr="00FB7994">
        <w:rPr>
          <w:i/>
        </w:rPr>
        <w:t>measId</w:t>
      </w:r>
      <w:proofErr w:type="spellEnd"/>
      <w:r w:rsidRPr="00BC54A5">
        <w:t xml:space="preserve">, and sends the applicability report to the network via </w:t>
      </w:r>
      <w:proofErr w:type="spellStart"/>
      <w:r w:rsidRPr="00FB7994">
        <w:rPr>
          <w:i/>
        </w:rPr>
        <w:t>RRCReconfigurationComplete</w:t>
      </w:r>
      <w:proofErr w:type="spellEnd"/>
      <w:r w:rsidRPr="00BC54A5">
        <w:t xml:space="preserve"> or UAI.</w:t>
      </w:r>
      <w:r w:rsidR="00581FA8">
        <w:t xml:space="preserve"> </w:t>
      </w:r>
      <w:r w:rsidR="00581FA8">
        <w:rPr>
          <w:rFonts w:hint="eastAsia"/>
        </w:rPr>
        <w:t>A</w:t>
      </w:r>
      <w:r w:rsidR="00581FA8">
        <w:t xml:space="preserve">nd the applicability report shall include one or more </w:t>
      </w:r>
      <w:proofErr w:type="spellStart"/>
      <w:r w:rsidR="00581FA8" w:rsidRPr="00F57CB2">
        <w:rPr>
          <w:i/>
        </w:rPr>
        <w:t>measId</w:t>
      </w:r>
      <w:proofErr w:type="spellEnd"/>
      <w:r w:rsidR="00581FA8">
        <w:t xml:space="preserve"> that are applicable and one or more </w:t>
      </w:r>
      <w:proofErr w:type="spellStart"/>
      <w:r w:rsidR="00581FA8">
        <w:t>measId</w:t>
      </w:r>
      <w:proofErr w:type="spellEnd"/>
      <w:r w:rsidR="00581FA8">
        <w:t xml:space="preserve"> that are not applicable. If one </w:t>
      </w:r>
      <w:proofErr w:type="spellStart"/>
      <w:r w:rsidR="00581FA8" w:rsidRPr="00F57CB2">
        <w:rPr>
          <w:i/>
        </w:rPr>
        <w:t>measId</w:t>
      </w:r>
      <w:proofErr w:type="spellEnd"/>
      <w:r w:rsidR="00581FA8">
        <w:t xml:space="preserve"> is not applicable, applicability report shall also include the corresponding cause value.</w:t>
      </w:r>
    </w:p>
    <w:p w14:paraId="3A01EF78" w14:textId="482CCCC2" w:rsidR="0051777B" w:rsidRPr="00FF027B" w:rsidRDefault="0051777B" w:rsidP="00FF027B">
      <w:pPr>
        <w:ind w:left="1132" w:hangingChars="564" w:hanging="1132"/>
        <w:rPr>
          <w:b/>
        </w:rPr>
      </w:pPr>
      <w:r>
        <w:rPr>
          <w:b/>
        </w:rPr>
        <w:t xml:space="preserve">Proposal </w:t>
      </w:r>
      <w:r w:rsidR="000E2162">
        <w:rPr>
          <w:b/>
        </w:rPr>
        <w:t>2</w:t>
      </w:r>
      <w:r>
        <w:rPr>
          <w:b/>
        </w:rPr>
        <w:tab/>
        <w:t xml:space="preserve">Upon receiving a list of full inference configuration, the </w:t>
      </w:r>
      <w:r w:rsidRPr="0051777B">
        <w:rPr>
          <w:b/>
        </w:rPr>
        <w:t xml:space="preserve">UE determines the applicability </w:t>
      </w:r>
      <w:r>
        <w:rPr>
          <w:b/>
        </w:rPr>
        <w:t>per</w:t>
      </w:r>
      <w:r w:rsidRPr="0051777B">
        <w:rPr>
          <w:b/>
        </w:rPr>
        <w:t xml:space="preserve"> </w:t>
      </w:r>
      <w:proofErr w:type="spellStart"/>
      <w:r w:rsidRPr="0051777B">
        <w:rPr>
          <w:b/>
        </w:rPr>
        <w:t>measId</w:t>
      </w:r>
      <w:proofErr w:type="spellEnd"/>
      <w:r w:rsidRPr="00DF6664">
        <w:rPr>
          <w:b/>
        </w:rPr>
        <w:t xml:space="preserve"> </w:t>
      </w:r>
      <w:r>
        <w:rPr>
          <w:b/>
        </w:rPr>
        <w:t>and sends applicability report to the network via</w:t>
      </w:r>
      <w:r w:rsidRPr="007A1F1E">
        <w:rPr>
          <w:b/>
          <w:i/>
        </w:rPr>
        <w:t xml:space="preserve"> </w:t>
      </w:r>
      <w:proofErr w:type="spellStart"/>
      <w:r w:rsidRPr="007A1F1E">
        <w:rPr>
          <w:b/>
          <w:i/>
        </w:rPr>
        <w:t>RRCReconfigurationComplete</w:t>
      </w:r>
      <w:proofErr w:type="spellEnd"/>
      <w:r>
        <w:rPr>
          <w:b/>
        </w:rPr>
        <w:t xml:space="preserve"> or UAI.</w:t>
      </w:r>
    </w:p>
    <w:p w14:paraId="5A9D959F" w14:textId="1EB89D63" w:rsidR="0051777B" w:rsidRPr="00581FA8" w:rsidRDefault="0051777B" w:rsidP="0051777B">
      <w:pPr>
        <w:ind w:left="1132" w:hangingChars="564" w:hanging="1132"/>
        <w:rPr>
          <w:b/>
        </w:rPr>
      </w:pPr>
      <w:r w:rsidRPr="00581FA8">
        <w:rPr>
          <w:b/>
        </w:rPr>
        <w:t>Proposal</w:t>
      </w:r>
      <w:r w:rsidR="000E2162" w:rsidRPr="00581FA8">
        <w:rPr>
          <w:b/>
        </w:rPr>
        <w:t xml:space="preserve"> 3</w:t>
      </w:r>
      <w:r w:rsidRPr="00581FA8">
        <w:rPr>
          <w:b/>
        </w:rPr>
        <w:tab/>
      </w:r>
      <w:r w:rsidR="00E92389" w:rsidRPr="00581FA8">
        <w:rPr>
          <w:b/>
        </w:rPr>
        <w:t>For Option A, t</w:t>
      </w:r>
      <w:r w:rsidRPr="00581FA8">
        <w:rPr>
          <w:b/>
        </w:rPr>
        <w:t>he applicability report includes the following information:</w:t>
      </w:r>
    </w:p>
    <w:p w14:paraId="6A81CA54" w14:textId="77777777" w:rsidR="0051777B" w:rsidRPr="00581FA8" w:rsidRDefault="0051777B" w:rsidP="0051777B">
      <w:pPr>
        <w:pStyle w:val="aff9"/>
        <w:numPr>
          <w:ilvl w:val="0"/>
          <w:numId w:val="26"/>
        </w:numPr>
        <w:ind w:firstLineChars="0"/>
        <w:rPr>
          <w:b/>
        </w:rPr>
      </w:pPr>
      <w:r w:rsidRPr="00581FA8">
        <w:rPr>
          <w:b/>
        </w:rPr>
        <w:t xml:space="preserve">One or more </w:t>
      </w:r>
      <w:proofErr w:type="spellStart"/>
      <w:r w:rsidRPr="00581FA8">
        <w:rPr>
          <w:b/>
        </w:rPr>
        <w:t>measIDs</w:t>
      </w:r>
      <w:proofErr w:type="spellEnd"/>
      <w:r w:rsidRPr="00581FA8">
        <w:rPr>
          <w:b/>
        </w:rPr>
        <w:t xml:space="preserve"> that are applicable;</w:t>
      </w:r>
    </w:p>
    <w:p w14:paraId="103BE2FE" w14:textId="77777777" w:rsidR="0051777B" w:rsidRPr="00581FA8" w:rsidRDefault="0051777B" w:rsidP="0051777B">
      <w:pPr>
        <w:pStyle w:val="aff9"/>
        <w:numPr>
          <w:ilvl w:val="0"/>
          <w:numId w:val="26"/>
        </w:numPr>
        <w:ind w:firstLineChars="0"/>
        <w:rPr>
          <w:b/>
        </w:rPr>
      </w:pPr>
      <w:r w:rsidRPr="00581FA8">
        <w:rPr>
          <w:b/>
        </w:rPr>
        <w:t xml:space="preserve">One or more </w:t>
      </w:r>
      <w:proofErr w:type="spellStart"/>
      <w:r w:rsidRPr="00581FA8">
        <w:rPr>
          <w:b/>
        </w:rPr>
        <w:t>measIDs</w:t>
      </w:r>
      <w:proofErr w:type="spellEnd"/>
      <w:r w:rsidRPr="00581FA8">
        <w:rPr>
          <w:b/>
        </w:rPr>
        <w:t xml:space="preserve"> that are inapplicable and corresponding cause value; </w:t>
      </w:r>
    </w:p>
    <w:p w14:paraId="488EC778" w14:textId="4AC21437" w:rsidR="0024007A" w:rsidRDefault="00FF027B" w:rsidP="0024007A">
      <w:pPr>
        <w:rPr>
          <w:szCs w:val="20"/>
        </w:rPr>
      </w:pPr>
      <w:bookmarkStart w:id="4" w:name="_Hlk206140882"/>
      <w:r>
        <w:rPr>
          <w:szCs w:val="20"/>
        </w:rPr>
        <w:t>And, i</w:t>
      </w:r>
      <w:r w:rsidR="0024007A">
        <w:rPr>
          <w:szCs w:val="20"/>
        </w:rPr>
        <w:t>n the RAN2 130, RAN2 already agreed some inference parameters for RRM measurement prediction, as follows:</w:t>
      </w:r>
    </w:p>
    <w:tbl>
      <w:tblPr>
        <w:tblStyle w:val="aff0"/>
        <w:tblW w:w="0" w:type="auto"/>
        <w:tblInd w:w="562" w:type="dxa"/>
        <w:tblLook w:val="04A0" w:firstRow="1" w:lastRow="0" w:firstColumn="1" w:lastColumn="0" w:noHBand="0" w:noVBand="1"/>
      </w:tblPr>
      <w:tblGrid>
        <w:gridCol w:w="8034"/>
      </w:tblGrid>
      <w:tr w:rsidR="0024007A" w14:paraId="04BFA273" w14:textId="77777777" w:rsidTr="001B2E8C">
        <w:tc>
          <w:tcPr>
            <w:tcW w:w="8034" w:type="dxa"/>
          </w:tcPr>
          <w:p w14:paraId="28871FAF" w14:textId="77777777" w:rsidR="0024007A" w:rsidRPr="0024007A" w:rsidRDefault="0024007A" w:rsidP="001B2E8C">
            <w:pPr>
              <w:pStyle w:val="Doc-text2"/>
              <w:numPr>
                <w:ilvl w:val="0"/>
                <w:numId w:val="25"/>
              </w:numPr>
              <w:spacing w:after="0"/>
              <w:rPr>
                <w:rFonts w:ascii="Times New Roman" w:hAnsi="Times New Roman"/>
              </w:rPr>
            </w:pPr>
            <w:r w:rsidRPr="0024007A">
              <w:rPr>
                <w:rFonts w:ascii="Times New Roman" w:hAnsi="Times New Roman"/>
              </w:rPr>
              <w:t>The following potential “inference parameters” can be considered for inference/measurement configuration, which provides the necessary information for UE to examine the applicability, it may contain</w:t>
            </w:r>
          </w:p>
          <w:p w14:paraId="62D7554A" w14:textId="77777777" w:rsidR="0024007A" w:rsidRPr="0024007A" w:rsidRDefault="0024007A" w:rsidP="001B2E8C">
            <w:pPr>
              <w:pStyle w:val="Doc-text2"/>
              <w:spacing w:after="0"/>
              <w:ind w:left="723"/>
              <w:rPr>
                <w:rFonts w:ascii="Times New Roman" w:hAnsi="Times New Roman"/>
              </w:rPr>
            </w:pPr>
            <w:r w:rsidRPr="0024007A">
              <w:rPr>
                <w:rFonts w:ascii="Times New Roman" w:hAnsi="Times New Roman"/>
              </w:rPr>
              <w:t>• PW length (for temporal case A)</w:t>
            </w:r>
          </w:p>
          <w:p w14:paraId="79EFD41E" w14:textId="77777777" w:rsidR="0024007A" w:rsidRPr="0024007A" w:rsidRDefault="0024007A" w:rsidP="001B2E8C">
            <w:pPr>
              <w:pStyle w:val="Doc-text2"/>
              <w:spacing w:after="0"/>
              <w:ind w:left="723"/>
              <w:rPr>
                <w:rFonts w:ascii="Times New Roman" w:hAnsi="Times New Roman"/>
              </w:rPr>
            </w:pPr>
            <w:r w:rsidRPr="0024007A">
              <w:rPr>
                <w:rFonts w:ascii="Times New Roman" w:hAnsi="Times New Roman"/>
              </w:rPr>
              <w:t xml:space="preserve">• Skipping pattern (e.g. SSB config that indicates SSBs transmitted) (optional).  MRRT (for temporal case </w:t>
            </w:r>
            <w:proofErr w:type="gramStart"/>
            <w:r w:rsidRPr="0024007A">
              <w:rPr>
                <w:rFonts w:ascii="Times New Roman" w:hAnsi="Times New Roman"/>
              </w:rPr>
              <w:t>B )</w:t>
            </w:r>
            <w:proofErr w:type="gramEnd"/>
            <w:r w:rsidRPr="0024007A">
              <w:rPr>
                <w:rFonts w:ascii="Times New Roman" w:hAnsi="Times New Roman"/>
              </w:rPr>
              <w:t xml:space="preserve"> not discussed in study item, but if RAN4 says otherwise can be considered in WI</w:t>
            </w:r>
          </w:p>
          <w:p w14:paraId="00A973BF" w14:textId="77777777" w:rsidR="0024007A" w:rsidRPr="0024007A" w:rsidRDefault="0024007A" w:rsidP="001B2E8C">
            <w:pPr>
              <w:pStyle w:val="Doc-text2"/>
              <w:spacing w:after="0"/>
              <w:ind w:left="723"/>
              <w:rPr>
                <w:rFonts w:ascii="Times New Roman" w:hAnsi="Times New Roman"/>
              </w:rPr>
            </w:pPr>
            <w:r w:rsidRPr="0024007A">
              <w:rPr>
                <w:rFonts w:ascii="Times New Roman" w:hAnsi="Times New Roman"/>
              </w:rPr>
              <w:t>• Measured and predicted beam pattern (optional). MRRS (for spatial domain prediction) not discussed in study item, but if RAN4 says otherwise can be considered in WI</w:t>
            </w:r>
          </w:p>
          <w:p w14:paraId="7FCA08C6" w14:textId="77777777" w:rsidR="0024007A" w:rsidRDefault="0024007A" w:rsidP="001B2E8C">
            <w:pPr>
              <w:pStyle w:val="Doc-text2"/>
              <w:spacing w:after="0"/>
              <w:ind w:left="723"/>
            </w:pPr>
            <w:r w:rsidRPr="0024007A">
              <w:rPr>
                <w:rFonts w:ascii="Times New Roman" w:hAnsi="Times New Roman"/>
              </w:rPr>
              <w:t>• Measured and predicted frequency (For inter-</w:t>
            </w:r>
            <w:proofErr w:type="spellStart"/>
            <w:r w:rsidRPr="0024007A">
              <w:rPr>
                <w:rFonts w:ascii="Times New Roman" w:hAnsi="Times New Roman"/>
              </w:rPr>
              <w:t>freq</w:t>
            </w:r>
            <w:proofErr w:type="spellEnd"/>
            <w:r w:rsidRPr="0024007A">
              <w:rPr>
                <w:rFonts w:ascii="Times New Roman" w:hAnsi="Times New Roman"/>
              </w:rPr>
              <w:t xml:space="preserve"> domain prediction)</w:t>
            </w:r>
          </w:p>
        </w:tc>
      </w:tr>
    </w:tbl>
    <w:p w14:paraId="46C7C0DC" w14:textId="7C603763" w:rsidR="0024007A" w:rsidRDefault="0024007A" w:rsidP="0024007A">
      <w:pPr>
        <w:spacing w:before="120"/>
        <w:rPr>
          <w:szCs w:val="20"/>
        </w:rPr>
      </w:pPr>
      <w:r>
        <w:rPr>
          <w:rFonts w:hint="eastAsia"/>
          <w:szCs w:val="20"/>
        </w:rPr>
        <w:t>W</w:t>
      </w:r>
      <w:r>
        <w:rPr>
          <w:szCs w:val="20"/>
        </w:rPr>
        <w:t>hile, it is still undetermined how to provide these inference configuration</w:t>
      </w:r>
      <w:r w:rsidR="000F6DBB">
        <w:rPr>
          <w:szCs w:val="20"/>
        </w:rPr>
        <w:t>s</w:t>
      </w:r>
      <w:r>
        <w:rPr>
          <w:szCs w:val="20"/>
        </w:rPr>
        <w:t xml:space="preserve"> to the UE.</w:t>
      </w:r>
    </w:p>
    <w:bookmarkEnd w:id="4"/>
    <w:p w14:paraId="6E7BBC3A" w14:textId="55CF1DC3" w:rsidR="0051777B" w:rsidRPr="00DF6664" w:rsidRDefault="0051777B" w:rsidP="0051777B">
      <w:pPr>
        <w:ind w:left="1132" w:hangingChars="564" w:hanging="1132"/>
        <w:rPr>
          <w:b/>
        </w:rPr>
      </w:pPr>
      <w:r>
        <w:rPr>
          <w:b/>
        </w:rPr>
        <w:t>Observation</w:t>
      </w:r>
      <w:r w:rsidR="000E2162">
        <w:rPr>
          <w:b/>
        </w:rPr>
        <w:t xml:space="preserve"> 2</w:t>
      </w:r>
      <w:r w:rsidR="000F6DBB">
        <w:rPr>
          <w:b/>
        </w:rPr>
        <w:t>:</w:t>
      </w:r>
      <w:r w:rsidRPr="00DF6664">
        <w:rPr>
          <w:b/>
        </w:rPr>
        <w:t xml:space="preserve"> </w:t>
      </w:r>
      <w:r>
        <w:rPr>
          <w:b/>
        </w:rPr>
        <w:t xml:space="preserve"> In RAN2#130, RAN2 already agreed some inference parameters for RRM prediction, however, it is undetermined how to provide </w:t>
      </w:r>
      <w:r w:rsidR="001D3182">
        <w:rPr>
          <w:b/>
        </w:rPr>
        <w:t>those configurations</w:t>
      </w:r>
      <w:r>
        <w:rPr>
          <w:b/>
        </w:rPr>
        <w:t xml:space="preserve"> to UE</w:t>
      </w:r>
      <w:r w:rsidRPr="00DF6664">
        <w:rPr>
          <w:b/>
        </w:rPr>
        <w:t>.</w:t>
      </w:r>
    </w:p>
    <w:p w14:paraId="5CA757F0" w14:textId="62A3D72A" w:rsidR="000F6DBB" w:rsidRPr="000F6DBB" w:rsidRDefault="000F6DBB" w:rsidP="000F6DBB">
      <w:r w:rsidRPr="000F6DBB">
        <w:rPr>
          <w:rFonts w:hint="eastAsia"/>
        </w:rPr>
        <w:t>I</w:t>
      </w:r>
      <w:r w:rsidRPr="000F6DBB">
        <w:t xml:space="preserve">n the current </w:t>
      </w:r>
      <w:r>
        <w:t xml:space="preserve">RRC </w:t>
      </w:r>
      <w:r w:rsidRPr="000F6DBB">
        <w:t>specification, we have the following restriction:</w:t>
      </w:r>
    </w:p>
    <w:tbl>
      <w:tblPr>
        <w:tblStyle w:val="aff0"/>
        <w:tblW w:w="0" w:type="auto"/>
        <w:tblLook w:val="04A0" w:firstRow="1" w:lastRow="0" w:firstColumn="1" w:lastColumn="0" w:noHBand="0" w:noVBand="1"/>
      </w:tblPr>
      <w:tblGrid>
        <w:gridCol w:w="9771"/>
      </w:tblGrid>
      <w:tr w:rsidR="000F6DBB" w:rsidRPr="000F6DBB" w14:paraId="14FBDBFD" w14:textId="77777777" w:rsidTr="001B2E8C">
        <w:tc>
          <w:tcPr>
            <w:tcW w:w="9771" w:type="dxa"/>
          </w:tcPr>
          <w:p w14:paraId="1AE57EC3" w14:textId="77777777" w:rsidR="000F6DBB" w:rsidRPr="000F6DBB" w:rsidRDefault="000F6DBB" w:rsidP="000F6DBB">
            <w:pPr>
              <w:rPr>
                <w:i/>
                <w:lang w:eastAsia="zh-CN"/>
              </w:rPr>
            </w:pPr>
            <w:r w:rsidRPr="000F6DBB">
              <w:rPr>
                <w:rFonts w:hint="eastAsia"/>
                <w:i/>
                <w:lang w:eastAsia="zh-CN"/>
              </w:rPr>
              <w:t>#</w:t>
            </w:r>
            <w:r w:rsidRPr="000F6DBB">
              <w:rPr>
                <w:i/>
                <w:lang w:eastAsia="zh-CN"/>
              </w:rPr>
              <w:t>clause 5.5.2.1 of TS 38.331</w:t>
            </w:r>
          </w:p>
          <w:p w14:paraId="713CB9E1" w14:textId="77777777" w:rsidR="000F6DBB" w:rsidRPr="000F6DBB" w:rsidRDefault="000F6DBB" w:rsidP="000F6DBB">
            <w:pPr>
              <w:rPr>
                <w:lang w:eastAsia="zh-CN"/>
              </w:rPr>
            </w:pPr>
            <w:r w:rsidRPr="000F6DBB">
              <w:rPr>
                <w:lang w:eastAsia="zh-CN"/>
              </w:rPr>
              <w:t>The network applies the procedure as follows:</w:t>
            </w:r>
          </w:p>
          <w:p w14:paraId="41B3F209" w14:textId="77777777" w:rsidR="000F6DBB" w:rsidRPr="000F6DBB" w:rsidRDefault="000F6DBB" w:rsidP="000F6DBB">
            <w:pPr>
              <w:rPr>
                <w:rFonts w:eastAsia="宋体"/>
                <w:kern w:val="0"/>
                <w:lang w:eastAsia="zh-CN"/>
              </w:rPr>
            </w:pPr>
            <w:r w:rsidRPr="000F6DBB">
              <w:rPr>
                <w:rFonts w:eastAsia="宋体" w:hint="eastAsia"/>
                <w:kern w:val="0"/>
                <w:lang w:eastAsia="zh-CN"/>
              </w:rPr>
              <w:t>/</w:t>
            </w:r>
            <w:r w:rsidRPr="000F6DBB">
              <w:rPr>
                <w:rFonts w:eastAsia="宋体"/>
                <w:kern w:val="0"/>
                <w:lang w:eastAsia="zh-CN"/>
              </w:rPr>
              <w:t>/skip un-related part</w:t>
            </w:r>
          </w:p>
          <w:p w14:paraId="2F592281" w14:textId="77777777" w:rsidR="000F6DBB" w:rsidRPr="000F6DBB" w:rsidRDefault="000F6DBB" w:rsidP="000F6DBB">
            <w:pPr>
              <w:widowControl/>
              <w:overflowPunct w:val="0"/>
              <w:autoSpaceDE w:val="0"/>
              <w:autoSpaceDN w:val="0"/>
              <w:adjustRightInd w:val="0"/>
              <w:spacing w:after="180"/>
              <w:ind w:left="800" w:hanging="400"/>
              <w:contextualSpacing/>
              <w:jc w:val="left"/>
              <w:textAlignment w:val="baseline"/>
              <w:rPr>
                <w:rFonts w:eastAsia="宋体"/>
                <w:kern w:val="0"/>
                <w:lang w:val="en-GB" w:eastAsia="ja-JP"/>
              </w:rPr>
            </w:pPr>
            <w:r w:rsidRPr="000F6DBB">
              <w:rPr>
                <w:rFonts w:eastAsia="宋体"/>
                <w:iCs/>
                <w:kern w:val="0"/>
                <w:szCs w:val="20"/>
                <w:lang w:val="en-GB" w:eastAsia="ja-JP"/>
              </w:rPr>
              <w:t>-</w:t>
            </w:r>
            <w:r w:rsidRPr="000F6DBB">
              <w:rPr>
                <w:rFonts w:eastAsia="宋体"/>
                <w:i/>
                <w:kern w:val="0"/>
                <w:szCs w:val="20"/>
                <w:lang w:val="en-GB" w:eastAsia="ja-JP"/>
              </w:rPr>
              <w:tab/>
            </w:r>
            <w:r w:rsidRPr="000F6DBB">
              <w:rPr>
                <w:rFonts w:eastAsia="宋体"/>
                <w:kern w:val="0"/>
                <w:szCs w:val="20"/>
                <w:lang w:val="en-GB" w:eastAsia="ja-JP"/>
              </w:rPr>
              <w:t xml:space="preserve">to ensure that, in the </w:t>
            </w:r>
            <w:proofErr w:type="spellStart"/>
            <w:r w:rsidRPr="000F6DBB">
              <w:rPr>
                <w:rFonts w:eastAsia="宋体"/>
                <w:i/>
                <w:iCs/>
                <w:kern w:val="0"/>
                <w:szCs w:val="20"/>
                <w:lang w:val="en-GB" w:eastAsia="ja-JP"/>
              </w:rPr>
              <w:t>measConfig</w:t>
            </w:r>
            <w:proofErr w:type="spellEnd"/>
            <w:r w:rsidRPr="000F6DBB">
              <w:rPr>
                <w:rFonts w:eastAsia="宋体"/>
                <w:kern w:val="0"/>
                <w:szCs w:val="20"/>
                <w:lang w:val="en-GB" w:eastAsia="ja-JP"/>
              </w:rPr>
              <w:t xml:space="preserve"> associated with a CG:</w:t>
            </w:r>
          </w:p>
          <w:p w14:paraId="098D8389" w14:textId="77777777" w:rsidR="000F6DBB" w:rsidRPr="000F6DBB" w:rsidRDefault="000F6DBB" w:rsidP="000F6DBB">
            <w:pPr>
              <w:widowControl/>
              <w:overflowPunct w:val="0"/>
              <w:autoSpaceDE w:val="0"/>
              <w:autoSpaceDN w:val="0"/>
              <w:adjustRightInd w:val="0"/>
              <w:spacing w:after="180"/>
              <w:ind w:leftChars="300" w:left="1000" w:hanging="400"/>
              <w:contextualSpacing/>
              <w:jc w:val="left"/>
              <w:textAlignment w:val="baseline"/>
              <w:rPr>
                <w:rFonts w:eastAsia="MS Mincho"/>
                <w:i/>
                <w:kern w:val="0"/>
                <w:szCs w:val="20"/>
                <w:highlight w:val="yellow"/>
                <w:lang w:val="en-GB" w:eastAsia="ja-JP"/>
              </w:rPr>
            </w:pPr>
            <w:r w:rsidRPr="000F6DBB">
              <w:rPr>
                <w:rFonts w:eastAsia="MS Mincho"/>
                <w:kern w:val="0"/>
                <w:szCs w:val="20"/>
                <w:highlight w:val="yellow"/>
                <w:lang w:val="en-GB" w:eastAsia="ja-JP"/>
              </w:rPr>
              <w:t>-</w:t>
            </w:r>
            <w:r w:rsidRPr="000F6DBB">
              <w:rPr>
                <w:rFonts w:eastAsia="MS Mincho"/>
                <w:kern w:val="0"/>
                <w:szCs w:val="20"/>
                <w:highlight w:val="yellow"/>
                <w:lang w:val="en-GB" w:eastAsia="ja-JP"/>
              </w:rPr>
              <w:tab/>
              <w:t xml:space="preserve">for all SSB based measurements there is at most one measurement object with the same </w:t>
            </w:r>
            <w:proofErr w:type="spellStart"/>
            <w:r w:rsidRPr="000F6DBB">
              <w:rPr>
                <w:rFonts w:eastAsia="MS Mincho"/>
                <w:i/>
                <w:kern w:val="0"/>
                <w:szCs w:val="20"/>
                <w:highlight w:val="yellow"/>
                <w:lang w:val="en-GB" w:eastAsia="ja-JP"/>
              </w:rPr>
              <w:t>ssbFrequency</w:t>
            </w:r>
            <w:proofErr w:type="spellEnd"/>
            <w:r w:rsidRPr="000F6DBB">
              <w:rPr>
                <w:rFonts w:eastAsia="MS Mincho"/>
                <w:kern w:val="0"/>
                <w:szCs w:val="20"/>
                <w:highlight w:val="yellow"/>
                <w:lang w:val="en-GB" w:eastAsia="ja-JP"/>
              </w:rPr>
              <w:t>;</w:t>
            </w:r>
          </w:p>
        </w:tc>
      </w:tr>
    </w:tbl>
    <w:p w14:paraId="1D333BC0" w14:textId="4D590C72" w:rsidR="000F6DBB" w:rsidRPr="000F6DBB" w:rsidRDefault="000F6DBB" w:rsidP="000F6DBB">
      <w:pPr>
        <w:spacing w:before="120"/>
      </w:pPr>
      <w:r w:rsidRPr="000F6DBB">
        <w:rPr>
          <w:rFonts w:hint="eastAsia"/>
        </w:rPr>
        <w:t>W</w:t>
      </w:r>
      <w:r w:rsidRPr="000F6DBB">
        <w:t>ith the restriction above, if inference parameters</w:t>
      </w:r>
      <w:r w:rsidR="00C931E6">
        <w:t xml:space="preserve"> are put</w:t>
      </w:r>
      <w:r w:rsidRPr="000F6DBB">
        <w:t xml:space="preserve"> into </w:t>
      </w:r>
      <w:proofErr w:type="spellStart"/>
      <w:r w:rsidRPr="000F6DBB">
        <w:rPr>
          <w:i/>
        </w:rPr>
        <w:t>MeasObjectNR</w:t>
      </w:r>
      <w:proofErr w:type="spellEnd"/>
      <w:r w:rsidRPr="000F6DBB">
        <w:t xml:space="preserve">, </w:t>
      </w:r>
      <w:r w:rsidR="00C931E6">
        <w:t xml:space="preserve">in order to applicability check, the network may provide multiple different inference parameters for a given frequency. Taking temporal domain </w:t>
      </w:r>
      <w:proofErr w:type="gramStart"/>
      <w:r w:rsidR="00C931E6">
        <w:t>case</w:t>
      </w:r>
      <w:proofErr w:type="gramEnd"/>
      <w:r w:rsidR="00C931E6">
        <w:t xml:space="preserve"> A as an example, for one frequency, each PW needs one</w:t>
      </w:r>
      <w:r w:rsidR="00C931E6" w:rsidRPr="00C931E6">
        <w:rPr>
          <w:i/>
        </w:rPr>
        <w:t xml:space="preserve"> </w:t>
      </w:r>
      <w:proofErr w:type="spellStart"/>
      <w:r w:rsidR="00C931E6" w:rsidRPr="00C931E6">
        <w:rPr>
          <w:i/>
        </w:rPr>
        <w:t>MeasObjectNR</w:t>
      </w:r>
      <w:proofErr w:type="spellEnd"/>
      <w:r w:rsidR="00C931E6">
        <w:t>, this breaks</w:t>
      </w:r>
      <w:r w:rsidRPr="000F6DBB">
        <w:t xml:space="preserve"> the rule </w:t>
      </w:r>
      <w:r>
        <w:t>that for a given SSB frequency, at most one MO can be configured for SSB based measurements.</w:t>
      </w:r>
      <w:r w:rsidR="00F85E0D">
        <w:t xml:space="preserve"> In the other hand, for performance monitoring, the network needs to configure the UE to perform actual measurement, in this case, one </w:t>
      </w:r>
      <w:proofErr w:type="spellStart"/>
      <w:r w:rsidR="00F85E0D" w:rsidRPr="00BE282C">
        <w:rPr>
          <w:i/>
        </w:rPr>
        <w:t>MeasObjectNR</w:t>
      </w:r>
      <w:proofErr w:type="spellEnd"/>
      <w:r w:rsidR="00F85E0D">
        <w:t xml:space="preserve"> without any </w:t>
      </w:r>
      <w:r w:rsidR="00BE282C">
        <w:t>inference related parameters, which also break the rules.</w:t>
      </w:r>
    </w:p>
    <w:p w14:paraId="1BE5F5F3" w14:textId="671208C6" w:rsidR="00A23E53" w:rsidRPr="00DF6664" w:rsidRDefault="00A23E53" w:rsidP="00A23E53">
      <w:pPr>
        <w:ind w:left="1132" w:hangingChars="564" w:hanging="1132"/>
        <w:rPr>
          <w:b/>
        </w:rPr>
      </w:pPr>
      <w:r>
        <w:rPr>
          <w:b/>
        </w:rPr>
        <w:lastRenderedPageBreak/>
        <w:t>Observation</w:t>
      </w:r>
      <w:r w:rsidRPr="00DF6664">
        <w:rPr>
          <w:b/>
        </w:rPr>
        <w:t xml:space="preserve"> </w:t>
      </w:r>
      <w:r w:rsidR="000E2162">
        <w:rPr>
          <w:b/>
        </w:rPr>
        <w:t>3:</w:t>
      </w:r>
      <w:r>
        <w:rPr>
          <w:b/>
        </w:rPr>
        <w:t xml:space="preserve"> In current RRC spec, there is restriction that for a given SSB frequency, at most one MO can be configured for SSB-based measurement</w:t>
      </w:r>
      <w:r w:rsidRPr="00DF6664">
        <w:rPr>
          <w:b/>
        </w:rPr>
        <w:t>.</w:t>
      </w:r>
      <w:r>
        <w:rPr>
          <w:b/>
        </w:rPr>
        <w:t xml:space="preserve"> If inference parameters are put in </w:t>
      </w:r>
      <w:proofErr w:type="spellStart"/>
      <w:r>
        <w:rPr>
          <w:b/>
        </w:rPr>
        <w:t>MeasObject</w:t>
      </w:r>
      <w:proofErr w:type="spellEnd"/>
      <w:r>
        <w:rPr>
          <w:b/>
        </w:rPr>
        <w:t xml:space="preserve">, we need to break the rule in order to provide different inference parameters for a given frequency. </w:t>
      </w:r>
    </w:p>
    <w:p w14:paraId="506E6E97" w14:textId="1EEFAF95" w:rsidR="005F1D24" w:rsidRPr="00A23E53" w:rsidRDefault="005F1D24" w:rsidP="00A23E53">
      <w:r w:rsidRPr="005F1D24">
        <w:t xml:space="preserve">Based on the analysis above, we think the </w:t>
      </w:r>
      <w:r>
        <w:rPr>
          <w:rFonts w:hint="eastAsia"/>
        </w:rPr>
        <w:t>agre</w:t>
      </w:r>
      <w:r>
        <w:t xml:space="preserve">ed </w:t>
      </w:r>
      <w:r w:rsidRPr="005F1D24">
        <w:t>inference parameters</w:t>
      </w:r>
      <w:r>
        <w:t xml:space="preserve"> above</w:t>
      </w:r>
      <w:r w:rsidRPr="005F1D24">
        <w:t xml:space="preserve"> </w:t>
      </w:r>
      <w:r w:rsidR="00510BE0">
        <w:t xml:space="preserve">(e.g. PW length, skipping pattern, measured frequency) </w:t>
      </w:r>
      <w:r w:rsidRPr="005F1D24">
        <w:t xml:space="preserve">shall be defined in </w:t>
      </w:r>
      <w:proofErr w:type="spellStart"/>
      <w:r w:rsidRPr="005F1D24">
        <w:rPr>
          <w:i/>
        </w:rPr>
        <w:t>ReportConfigNR</w:t>
      </w:r>
      <w:proofErr w:type="spellEnd"/>
      <w:r w:rsidRPr="005F1D24">
        <w:t>.</w:t>
      </w:r>
    </w:p>
    <w:p w14:paraId="0CE664FD" w14:textId="5C880E05" w:rsidR="00A23E53" w:rsidRPr="00DF6664" w:rsidRDefault="00A23E53" w:rsidP="00A23E53">
      <w:pPr>
        <w:ind w:left="1132" w:hangingChars="564" w:hanging="1132"/>
        <w:rPr>
          <w:b/>
        </w:rPr>
      </w:pPr>
      <w:r>
        <w:rPr>
          <w:b/>
        </w:rPr>
        <w:t xml:space="preserve">Proposal </w:t>
      </w:r>
      <w:r w:rsidR="000E2162">
        <w:rPr>
          <w:b/>
        </w:rPr>
        <w:t>4</w:t>
      </w:r>
      <w:r>
        <w:rPr>
          <w:b/>
        </w:rPr>
        <w:tab/>
      </w:r>
      <w:r w:rsidR="00E10C58">
        <w:rPr>
          <w:b/>
        </w:rPr>
        <w:t>For Option A, t</w:t>
      </w:r>
      <w:r>
        <w:rPr>
          <w:b/>
        </w:rPr>
        <w:t>he inference parameters (e.g. PW length, skipping pattern</w:t>
      </w:r>
      <w:r w:rsidR="00283B44">
        <w:rPr>
          <w:b/>
        </w:rPr>
        <w:t>, measured frequency</w:t>
      </w:r>
      <w:r>
        <w:rPr>
          <w:b/>
        </w:rPr>
        <w:t xml:space="preserve">) are defined in </w:t>
      </w:r>
      <w:proofErr w:type="spellStart"/>
      <w:r w:rsidRPr="00A23E53">
        <w:rPr>
          <w:b/>
          <w:i/>
        </w:rPr>
        <w:t>ReportConfigNR</w:t>
      </w:r>
      <w:proofErr w:type="spellEnd"/>
      <w:r>
        <w:rPr>
          <w:b/>
        </w:rPr>
        <w:t>.</w:t>
      </w:r>
    </w:p>
    <w:p w14:paraId="5D3179E9" w14:textId="77777777" w:rsidR="00EB5F20" w:rsidRPr="00653EEB" w:rsidRDefault="00EB5F20" w:rsidP="00EB5F20">
      <w:r>
        <w:rPr>
          <w:rFonts w:hint="eastAsia"/>
        </w:rPr>
        <w:t>I</w:t>
      </w:r>
      <w:r>
        <w:t xml:space="preserve">n the existing RRM measurement configuration, the UE always derive L3 cell results and included L3 cell results in the measurement report. While, for L3 beam results, the network can indicate the UE whether to derive L3 beam results and whether to include beam results in measurement report via </w:t>
      </w:r>
      <w:proofErr w:type="spellStart"/>
      <w:r w:rsidRPr="00E44962">
        <w:rPr>
          <w:i/>
        </w:rPr>
        <w:t>reportQuantityRS</w:t>
      </w:r>
      <w:proofErr w:type="spellEnd"/>
      <w:r w:rsidRPr="00E44962">
        <w:rPr>
          <w:i/>
        </w:rPr>
        <w:t>-Indexes</w:t>
      </w:r>
      <w:r w:rsidRPr="00E44962">
        <w:t xml:space="preserve"> and </w:t>
      </w:r>
      <w:proofErr w:type="spellStart"/>
      <w:r w:rsidRPr="00E44962">
        <w:rPr>
          <w:i/>
        </w:rPr>
        <w:t>maxNrofRS-IndexesToReport</w:t>
      </w:r>
      <w:proofErr w:type="spellEnd"/>
      <w:r>
        <w:t>.</w:t>
      </w:r>
    </w:p>
    <w:p w14:paraId="3B1CFA1D" w14:textId="0344B860" w:rsidR="000C31CE" w:rsidRPr="00283B44" w:rsidRDefault="000C31CE" w:rsidP="00283B44">
      <w:pPr>
        <w:ind w:left="1132" w:hangingChars="564" w:hanging="1132"/>
        <w:rPr>
          <w:b/>
        </w:rPr>
      </w:pPr>
      <w:r w:rsidRPr="00283B44">
        <w:rPr>
          <w:b/>
        </w:rPr>
        <w:t>Observation</w:t>
      </w:r>
      <w:r w:rsidR="000E2162">
        <w:rPr>
          <w:b/>
        </w:rPr>
        <w:t xml:space="preserve"> 4</w:t>
      </w:r>
      <w:r w:rsidRPr="00283B44">
        <w:rPr>
          <w:b/>
        </w:rPr>
        <w:t xml:space="preserve">: In </w:t>
      </w:r>
      <w:proofErr w:type="spellStart"/>
      <w:r w:rsidR="00283B44" w:rsidRPr="00283B44">
        <w:rPr>
          <w:b/>
          <w:i/>
        </w:rPr>
        <w:t>reportConfigNR</w:t>
      </w:r>
      <w:proofErr w:type="spellEnd"/>
      <w:r w:rsidRPr="00283B44">
        <w:rPr>
          <w:b/>
        </w:rPr>
        <w:t xml:space="preserve">, </w:t>
      </w:r>
      <w:proofErr w:type="spellStart"/>
      <w:r w:rsidRPr="00283B44">
        <w:rPr>
          <w:b/>
          <w:i/>
        </w:rPr>
        <w:t>reportQuantityRS</w:t>
      </w:r>
      <w:proofErr w:type="spellEnd"/>
      <w:r w:rsidRPr="00283B44">
        <w:rPr>
          <w:b/>
          <w:i/>
        </w:rPr>
        <w:t>-Indexes</w:t>
      </w:r>
      <w:r w:rsidRPr="00283B44">
        <w:rPr>
          <w:b/>
        </w:rPr>
        <w:t xml:space="preserve"> and </w:t>
      </w:r>
      <w:proofErr w:type="spellStart"/>
      <w:r w:rsidRPr="00283B44">
        <w:rPr>
          <w:b/>
          <w:i/>
        </w:rPr>
        <w:t>maxNrofRS-IndexesToReport</w:t>
      </w:r>
      <w:proofErr w:type="spellEnd"/>
      <w:r w:rsidRPr="00283B44">
        <w:rPr>
          <w:b/>
        </w:rPr>
        <w:t xml:space="preserve"> are used to </w:t>
      </w:r>
      <w:r w:rsidR="00283B44">
        <w:rPr>
          <w:b/>
        </w:rPr>
        <w:t xml:space="preserve">indicate the UE </w:t>
      </w:r>
      <w:r w:rsidRPr="00283B44">
        <w:rPr>
          <w:b/>
        </w:rPr>
        <w:t xml:space="preserve">whether </w:t>
      </w:r>
      <w:r w:rsidR="00283B44">
        <w:rPr>
          <w:b/>
        </w:rPr>
        <w:t xml:space="preserve">to </w:t>
      </w:r>
      <w:r w:rsidRPr="00283B44">
        <w:rPr>
          <w:b/>
        </w:rPr>
        <w:t>derive L3 beam results and whether to include beam results in measurement report.</w:t>
      </w:r>
    </w:p>
    <w:p w14:paraId="6623D9CC" w14:textId="610625BF" w:rsidR="00A169CF" w:rsidRPr="00457E53" w:rsidRDefault="00897723" w:rsidP="00897723">
      <w:r>
        <w:t xml:space="preserve">In our understanding, the same inference configuration can be used to indicate L3 cell level prediction or L3 beam level prediction or both. </w:t>
      </w:r>
      <w:r w:rsidR="009E6553">
        <w:t xml:space="preserve">For example, </w:t>
      </w:r>
      <w:r w:rsidR="00A169CF">
        <w:t>the network needs to provide prediction window length for both L3 cell level prediction and L3 beam level prediction. And,</w:t>
      </w:r>
      <w:r w:rsidR="00457E53">
        <w:t xml:space="preserve"> the existing IE </w:t>
      </w:r>
      <w:proofErr w:type="spellStart"/>
      <w:r w:rsidR="00457E53" w:rsidRPr="00457E53">
        <w:rPr>
          <w:i/>
        </w:rPr>
        <w:t>reportQuantityRS</w:t>
      </w:r>
      <w:proofErr w:type="spellEnd"/>
      <w:r w:rsidR="00457E53" w:rsidRPr="00457E53">
        <w:rPr>
          <w:i/>
        </w:rPr>
        <w:t>-Indexes</w:t>
      </w:r>
      <w:r w:rsidR="00457E53" w:rsidRPr="00457E53">
        <w:t xml:space="preserve"> and </w:t>
      </w:r>
      <w:proofErr w:type="spellStart"/>
      <w:r w:rsidR="00457E53" w:rsidRPr="00457E53">
        <w:rPr>
          <w:i/>
        </w:rPr>
        <w:t>maxNrofRS-IndexesToReport</w:t>
      </w:r>
      <w:proofErr w:type="spellEnd"/>
      <w:r w:rsidR="00457E53">
        <w:rPr>
          <w:i/>
        </w:rPr>
        <w:t xml:space="preserve"> </w:t>
      </w:r>
      <w:r w:rsidR="00457E53">
        <w:t>can be used to indicate whether the UE shall perform L3 beam level prediction in addition to L3 cell level prediction, following the same way as existing measurement configuration.</w:t>
      </w:r>
    </w:p>
    <w:p w14:paraId="6917DA95" w14:textId="7EB374AD" w:rsidR="000C31CE" w:rsidRPr="00283B44" w:rsidRDefault="00342074" w:rsidP="00283B44">
      <w:pPr>
        <w:ind w:left="1132" w:hangingChars="564" w:hanging="1132"/>
        <w:rPr>
          <w:b/>
        </w:rPr>
      </w:pPr>
      <w:r w:rsidRPr="00283B44">
        <w:rPr>
          <w:b/>
        </w:rPr>
        <w:t>Propo</w:t>
      </w:r>
      <w:r w:rsidRPr="007A33A8">
        <w:rPr>
          <w:b/>
        </w:rPr>
        <w:t xml:space="preserve">sal </w:t>
      </w:r>
      <w:r w:rsidR="000E2162" w:rsidRPr="007A33A8">
        <w:rPr>
          <w:b/>
        </w:rPr>
        <w:t>5</w:t>
      </w:r>
      <w:r w:rsidR="00283B44" w:rsidRPr="007A33A8">
        <w:rPr>
          <w:b/>
        </w:rPr>
        <w:tab/>
      </w:r>
      <w:r w:rsidR="00A80226" w:rsidRPr="007A33A8">
        <w:rPr>
          <w:b/>
        </w:rPr>
        <w:t>The same inference configuration can be used to indicate L3 cell</w:t>
      </w:r>
      <w:r w:rsidR="00F04C4B" w:rsidRPr="007A33A8">
        <w:rPr>
          <w:b/>
        </w:rPr>
        <w:t xml:space="preserve"> </w:t>
      </w:r>
      <w:r w:rsidR="00A80226" w:rsidRPr="007A33A8">
        <w:rPr>
          <w:b/>
        </w:rPr>
        <w:t>level prediction or L3 beam</w:t>
      </w:r>
      <w:r w:rsidR="00F04C4B" w:rsidRPr="007A33A8">
        <w:rPr>
          <w:b/>
        </w:rPr>
        <w:t xml:space="preserve"> </w:t>
      </w:r>
      <w:r w:rsidR="00A80226" w:rsidRPr="007A33A8">
        <w:rPr>
          <w:b/>
        </w:rPr>
        <w:t>level prediction or both</w:t>
      </w:r>
      <w:r w:rsidR="00F04C4B" w:rsidRPr="007A33A8">
        <w:rPr>
          <w:b/>
        </w:rPr>
        <w:t>,</w:t>
      </w:r>
      <w:r w:rsidRPr="007A33A8">
        <w:rPr>
          <w:b/>
        </w:rPr>
        <w:t xml:space="preserve"> </w:t>
      </w:r>
      <w:r w:rsidR="00F04C4B" w:rsidRPr="007A33A8">
        <w:rPr>
          <w:b/>
        </w:rPr>
        <w:t>e.g. t</w:t>
      </w:r>
      <w:r w:rsidRPr="007A33A8">
        <w:rPr>
          <w:b/>
        </w:rPr>
        <w:t xml:space="preserve">he existing </w:t>
      </w:r>
      <w:proofErr w:type="spellStart"/>
      <w:r w:rsidRPr="007A33A8">
        <w:rPr>
          <w:b/>
          <w:i/>
        </w:rPr>
        <w:t>reportQuantityRS</w:t>
      </w:r>
      <w:proofErr w:type="spellEnd"/>
      <w:r w:rsidRPr="007A33A8">
        <w:rPr>
          <w:b/>
          <w:i/>
        </w:rPr>
        <w:t>-Indexes</w:t>
      </w:r>
      <w:r w:rsidRPr="007A33A8">
        <w:rPr>
          <w:b/>
        </w:rPr>
        <w:t xml:space="preserve"> and </w:t>
      </w:r>
      <w:proofErr w:type="spellStart"/>
      <w:r w:rsidRPr="007A33A8">
        <w:rPr>
          <w:b/>
          <w:i/>
        </w:rPr>
        <w:t>maxNrofRS-IndexesToReport</w:t>
      </w:r>
      <w:proofErr w:type="spellEnd"/>
      <w:r w:rsidRPr="007A33A8">
        <w:rPr>
          <w:b/>
        </w:rPr>
        <w:t xml:space="preserve"> </w:t>
      </w:r>
      <w:r w:rsidR="00F04C4B" w:rsidRPr="007A33A8">
        <w:rPr>
          <w:b/>
        </w:rPr>
        <w:t>IEs</w:t>
      </w:r>
      <w:r w:rsidR="00283B44" w:rsidRPr="007A33A8">
        <w:rPr>
          <w:b/>
        </w:rPr>
        <w:t xml:space="preserve"> </w:t>
      </w:r>
      <w:r w:rsidRPr="007A33A8">
        <w:rPr>
          <w:b/>
        </w:rPr>
        <w:t>can be</w:t>
      </w:r>
      <w:r w:rsidR="00283B44" w:rsidRPr="007A33A8">
        <w:rPr>
          <w:b/>
        </w:rPr>
        <w:t xml:space="preserve"> re</w:t>
      </w:r>
      <w:r w:rsidRPr="007A33A8">
        <w:rPr>
          <w:b/>
        </w:rPr>
        <w:t>used to indicate whether the UE shall perform L3 beam</w:t>
      </w:r>
      <w:r w:rsidR="00F04C4B" w:rsidRPr="007A33A8">
        <w:rPr>
          <w:b/>
        </w:rPr>
        <w:t xml:space="preserve"> </w:t>
      </w:r>
      <w:r w:rsidRPr="007A33A8">
        <w:rPr>
          <w:b/>
        </w:rPr>
        <w:t>level prediction</w:t>
      </w:r>
      <w:r w:rsidR="00A80226" w:rsidRPr="007A33A8">
        <w:rPr>
          <w:b/>
        </w:rPr>
        <w:t xml:space="preserve"> in addition to L3 cell level predict</w:t>
      </w:r>
      <w:r w:rsidR="007227CD" w:rsidRPr="007A33A8">
        <w:rPr>
          <w:b/>
        </w:rPr>
        <w:t>i</w:t>
      </w:r>
      <w:r w:rsidR="00A80226" w:rsidRPr="007A33A8">
        <w:rPr>
          <w:b/>
        </w:rPr>
        <w:t>on</w:t>
      </w:r>
      <w:r w:rsidRPr="007A33A8">
        <w:rPr>
          <w:b/>
        </w:rPr>
        <w:t>.</w:t>
      </w:r>
    </w:p>
    <w:p w14:paraId="7E1F6484" w14:textId="77777777" w:rsidR="00EB5F20" w:rsidRPr="00653EEB" w:rsidRDefault="00EB5F20" w:rsidP="00BB464F">
      <w:pPr>
        <w:spacing w:beforeLines="50" w:before="156"/>
      </w:pPr>
    </w:p>
    <w:p w14:paraId="252B8BCD" w14:textId="5429F7B2" w:rsidR="002F3840" w:rsidRPr="007724FE" w:rsidRDefault="00DE04B1" w:rsidP="00D87EC6">
      <w:pPr>
        <w:rPr>
          <w:b/>
          <w:i/>
          <w:u w:val="single"/>
        </w:rPr>
      </w:pPr>
      <w:r w:rsidRPr="007724FE">
        <w:rPr>
          <w:rFonts w:hint="eastAsia"/>
          <w:b/>
          <w:i/>
          <w:u w:val="single"/>
        </w:rPr>
        <w:t>F</w:t>
      </w:r>
      <w:r w:rsidRPr="007724FE">
        <w:rPr>
          <w:b/>
          <w:i/>
          <w:u w:val="single"/>
        </w:rPr>
        <w:t>or Option B-_partial inference configuration</w:t>
      </w:r>
    </w:p>
    <w:p w14:paraId="44C3BEB4" w14:textId="45E03D9D" w:rsidR="00D87EC6" w:rsidRDefault="00D87EC6" w:rsidP="00BB464F">
      <w:pPr>
        <w:spacing w:beforeLines="50" w:before="156"/>
      </w:pPr>
      <w:r>
        <w:t>For option B in AI-</w:t>
      </w:r>
      <w:proofErr w:type="spellStart"/>
      <w:r>
        <w:t>phy</w:t>
      </w:r>
      <w:proofErr w:type="spellEnd"/>
      <w:r>
        <w:t>, the network can provide multiple sets of inference related parameters for applicability check via</w:t>
      </w:r>
      <w:r w:rsidRPr="00D87EC6">
        <w:rPr>
          <w:i/>
        </w:rPr>
        <w:t xml:space="preserve"> </w:t>
      </w:r>
      <w:proofErr w:type="spellStart"/>
      <w:r w:rsidRPr="00D87EC6">
        <w:rPr>
          <w:i/>
        </w:rPr>
        <w:t>OtherConfig</w:t>
      </w:r>
      <w:proofErr w:type="spellEnd"/>
      <w:r>
        <w:t xml:space="preserve">. Upon receiving multiple sets of inference related parameters for applicability check, </w:t>
      </w:r>
      <w:r w:rsidR="00AB035E">
        <w:t xml:space="preserve">the </w:t>
      </w:r>
      <w:r w:rsidR="0062194B">
        <w:t xml:space="preserve">UE decides the applicability per set and reports the applicability to the network via </w:t>
      </w:r>
      <w:proofErr w:type="spellStart"/>
      <w:r w:rsidR="0062194B" w:rsidRPr="0062194B">
        <w:rPr>
          <w:i/>
        </w:rPr>
        <w:t>RRCReconfigurationComplete</w:t>
      </w:r>
      <w:proofErr w:type="spellEnd"/>
      <w:r w:rsidR="0062194B">
        <w:t xml:space="preserve"> and UAI. And in order to identity an inference parameter set, each set of inference parameters is associated with one set Id. Similarly, AI-mob can follow the same way.</w:t>
      </w:r>
    </w:p>
    <w:p w14:paraId="227352F1" w14:textId="3400C478" w:rsidR="00E92389" w:rsidRPr="00283B44" w:rsidRDefault="00E92389" w:rsidP="00E92389">
      <w:pPr>
        <w:ind w:left="1132" w:hangingChars="564" w:hanging="1132"/>
        <w:rPr>
          <w:b/>
        </w:rPr>
      </w:pPr>
      <w:r w:rsidRPr="00283B44">
        <w:rPr>
          <w:b/>
        </w:rPr>
        <w:t>Proposal</w:t>
      </w:r>
      <w:r w:rsidR="000E2162">
        <w:rPr>
          <w:b/>
        </w:rPr>
        <w:t xml:space="preserve"> 6</w:t>
      </w:r>
      <w:r>
        <w:rPr>
          <w:b/>
        </w:rPr>
        <w:tab/>
        <w:t>For Option B, the network provides multiple sets of inference parameters to the UE via</w:t>
      </w:r>
      <w:r w:rsidRPr="00E92389">
        <w:rPr>
          <w:b/>
          <w:i/>
        </w:rPr>
        <w:t xml:space="preserve"> </w:t>
      </w:r>
      <w:proofErr w:type="spellStart"/>
      <w:r w:rsidRPr="00E92389">
        <w:rPr>
          <w:b/>
          <w:i/>
        </w:rPr>
        <w:t>otherConfig</w:t>
      </w:r>
      <w:proofErr w:type="spellEnd"/>
      <w:r w:rsidRPr="00283B44">
        <w:rPr>
          <w:b/>
        </w:rPr>
        <w:t>.</w:t>
      </w:r>
      <w:r>
        <w:rPr>
          <w:b/>
        </w:rPr>
        <w:t xml:space="preserve"> Each set of inference parameters is associated with one set ID. </w:t>
      </w:r>
    </w:p>
    <w:p w14:paraId="46D3ED7A" w14:textId="2AB57391" w:rsidR="00E92389" w:rsidRPr="00283B44" w:rsidRDefault="00E92389" w:rsidP="00E92389">
      <w:pPr>
        <w:ind w:left="1132" w:hangingChars="564" w:hanging="1132"/>
        <w:rPr>
          <w:b/>
        </w:rPr>
      </w:pPr>
      <w:r w:rsidRPr="00283B44">
        <w:rPr>
          <w:b/>
        </w:rPr>
        <w:t xml:space="preserve">Proposal </w:t>
      </w:r>
      <w:r w:rsidR="000E2162">
        <w:rPr>
          <w:b/>
        </w:rPr>
        <w:t>7</w:t>
      </w:r>
      <w:r>
        <w:rPr>
          <w:b/>
        </w:rPr>
        <w:tab/>
        <w:t xml:space="preserve">Upon receiving the multiple sets of inference parameters, the </w:t>
      </w:r>
      <w:r w:rsidRPr="0051777B">
        <w:rPr>
          <w:b/>
        </w:rPr>
        <w:t xml:space="preserve">UE determines the applicability </w:t>
      </w:r>
      <w:r>
        <w:rPr>
          <w:b/>
        </w:rPr>
        <w:t>per</w:t>
      </w:r>
      <w:r w:rsidRPr="0051777B">
        <w:rPr>
          <w:b/>
        </w:rPr>
        <w:t xml:space="preserve"> </w:t>
      </w:r>
      <w:r>
        <w:rPr>
          <w:b/>
        </w:rPr>
        <w:t xml:space="preserve">set, and sends applicability report to the network via </w:t>
      </w:r>
      <w:proofErr w:type="spellStart"/>
      <w:r>
        <w:rPr>
          <w:b/>
        </w:rPr>
        <w:t>RRCReconfigurationComplete</w:t>
      </w:r>
      <w:proofErr w:type="spellEnd"/>
      <w:r>
        <w:rPr>
          <w:b/>
        </w:rPr>
        <w:t xml:space="preserve"> or UAI. </w:t>
      </w:r>
    </w:p>
    <w:p w14:paraId="4BCD57D6" w14:textId="61044B48" w:rsidR="00E92389" w:rsidRDefault="00E92389" w:rsidP="00E92389">
      <w:pPr>
        <w:ind w:left="1132" w:hangingChars="564" w:hanging="1132"/>
        <w:rPr>
          <w:b/>
        </w:rPr>
      </w:pPr>
      <w:r>
        <w:rPr>
          <w:b/>
        </w:rPr>
        <w:t xml:space="preserve">Proposal </w:t>
      </w:r>
      <w:r w:rsidR="000E2162">
        <w:rPr>
          <w:b/>
        </w:rPr>
        <w:t>8</w:t>
      </w:r>
      <w:r>
        <w:rPr>
          <w:b/>
        </w:rPr>
        <w:tab/>
        <w:t>For Option B, the applicability report includes the following information:</w:t>
      </w:r>
    </w:p>
    <w:p w14:paraId="1FAF95CB" w14:textId="55D7E6CA" w:rsidR="00E92389" w:rsidRDefault="00E92389" w:rsidP="00E92389">
      <w:pPr>
        <w:pStyle w:val="aff9"/>
        <w:numPr>
          <w:ilvl w:val="0"/>
          <w:numId w:val="26"/>
        </w:numPr>
        <w:ind w:firstLineChars="0"/>
        <w:rPr>
          <w:b/>
        </w:rPr>
      </w:pPr>
      <w:r>
        <w:rPr>
          <w:b/>
        </w:rPr>
        <w:t>One or more set IDs that are applicable;</w:t>
      </w:r>
    </w:p>
    <w:p w14:paraId="2E12598D" w14:textId="504FD3EF" w:rsidR="00E92389" w:rsidRPr="0051777B" w:rsidRDefault="00E92389" w:rsidP="00E92389">
      <w:pPr>
        <w:pStyle w:val="aff9"/>
        <w:numPr>
          <w:ilvl w:val="0"/>
          <w:numId w:val="26"/>
        </w:numPr>
        <w:ind w:firstLineChars="0"/>
        <w:rPr>
          <w:b/>
        </w:rPr>
      </w:pPr>
      <w:r>
        <w:rPr>
          <w:rFonts w:hint="eastAsia"/>
          <w:b/>
        </w:rPr>
        <w:t>O</w:t>
      </w:r>
      <w:r>
        <w:rPr>
          <w:b/>
        </w:rPr>
        <w:t xml:space="preserve">ne or more set IDs that are inapplicable and corresponding cause value; </w:t>
      </w:r>
    </w:p>
    <w:p w14:paraId="0B64873D" w14:textId="52133A83" w:rsidR="0062194B" w:rsidRDefault="0062194B" w:rsidP="00E92389">
      <w:pPr>
        <w:rPr>
          <w:rFonts w:eastAsia="宋体"/>
          <w:kern w:val="0"/>
          <w:szCs w:val="20"/>
        </w:rPr>
      </w:pPr>
      <w:r>
        <w:rPr>
          <w:rFonts w:eastAsia="宋体" w:hint="eastAsia"/>
          <w:kern w:val="0"/>
          <w:szCs w:val="20"/>
        </w:rPr>
        <w:t>S</w:t>
      </w:r>
      <w:r>
        <w:rPr>
          <w:rFonts w:eastAsia="宋体"/>
          <w:kern w:val="0"/>
          <w:szCs w:val="20"/>
        </w:rPr>
        <w:t xml:space="preserve">imilar to option A, a set of inference parameters for option B can include </w:t>
      </w:r>
      <w:r w:rsidR="00BE4A07">
        <w:rPr>
          <w:rFonts w:eastAsia="宋体"/>
          <w:kern w:val="0"/>
          <w:szCs w:val="20"/>
        </w:rPr>
        <w:t xml:space="preserve">the inference parameters above, e.g. </w:t>
      </w:r>
      <w:r>
        <w:rPr>
          <w:rFonts w:eastAsia="宋体"/>
          <w:kern w:val="0"/>
          <w:szCs w:val="20"/>
        </w:rPr>
        <w:t xml:space="preserve">the PW length, skipping pattern and measured frequency. </w:t>
      </w:r>
      <w:r w:rsidR="00AA34C8">
        <w:rPr>
          <w:rFonts w:eastAsia="宋体"/>
          <w:kern w:val="0"/>
          <w:szCs w:val="20"/>
        </w:rPr>
        <w:t xml:space="preserve">Besides, </w:t>
      </w:r>
      <w:r w:rsidR="00D55A64">
        <w:rPr>
          <w:rFonts w:eastAsia="宋体"/>
          <w:kern w:val="0"/>
          <w:szCs w:val="20"/>
        </w:rPr>
        <w:t>some</w:t>
      </w:r>
      <w:r w:rsidR="00AA34C8">
        <w:rPr>
          <w:rFonts w:eastAsia="宋体"/>
          <w:kern w:val="0"/>
          <w:szCs w:val="20"/>
        </w:rPr>
        <w:t xml:space="preserve"> measurement configuration may also impact the applicability</w:t>
      </w:r>
      <w:r w:rsidR="00964DB5">
        <w:rPr>
          <w:rFonts w:eastAsia="宋体"/>
          <w:kern w:val="0"/>
          <w:szCs w:val="20"/>
        </w:rPr>
        <w:t xml:space="preserve">, </w:t>
      </w:r>
      <w:r w:rsidR="00AA34C8">
        <w:rPr>
          <w:rFonts w:eastAsia="宋体"/>
          <w:kern w:val="0"/>
          <w:szCs w:val="20"/>
        </w:rPr>
        <w:t>for example, some AI model</w:t>
      </w:r>
      <w:r w:rsidR="001E7A64">
        <w:rPr>
          <w:rFonts w:eastAsia="宋体"/>
          <w:kern w:val="0"/>
          <w:szCs w:val="20"/>
        </w:rPr>
        <w:t>s</w:t>
      </w:r>
      <w:r w:rsidR="00AA34C8">
        <w:rPr>
          <w:rFonts w:eastAsia="宋体"/>
          <w:kern w:val="0"/>
          <w:szCs w:val="20"/>
        </w:rPr>
        <w:t xml:space="preserve"> may</w:t>
      </w:r>
      <w:r w:rsidR="00553044">
        <w:rPr>
          <w:rFonts w:eastAsia="宋体"/>
          <w:kern w:val="0"/>
          <w:szCs w:val="20"/>
        </w:rPr>
        <w:t xml:space="preserve"> only</w:t>
      </w:r>
      <w:r w:rsidR="00AA34C8">
        <w:rPr>
          <w:rFonts w:eastAsia="宋体"/>
          <w:kern w:val="0"/>
          <w:szCs w:val="20"/>
        </w:rPr>
        <w:t xml:space="preserve"> </w:t>
      </w:r>
      <w:r w:rsidR="001E7A64">
        <w:rPr>
          <w:rFonts w:eastAsia="宋体"/>
          <w:kern w:val="0"/>
          <w:szCs w:val="20"/>
        </w:rPr>
        <w:t>be able to work</w:t>
      </w:r>
      <w:r w:rsidR="00AA34C8">
        <w:rPr>
          <w:rFonts w:eastAsia="宋体"/>
          <w:kern w:val="0"/>
          <w:szCs w:val="20"/>
        </w:rPr>
        <w:t xml:space="preserve"> in the certain frequency</w:t>
      </w:r>
      <w:r w:rsidR="000671D7">
        <w:rPr>
          <w:rFonts w:eastAsia="宋体"/>
          <w:kern w:val="0"/>
          <w:szCs w:val="20"/>
        </w:rPr>
        <w:t xml:space="preserve">(s), in this case, the network </w:t>
      </w:r>
      <w:r w:rsidR="000671D7">
        <w:rPr>
          <w:rFonts w:eastAsia="宋体"/>
          <w:kern w:val="0"/>
          <w:szCs w:val="20"/>
        </w:rPr>
        <w:lastRenderedPageBreak/>
        <w:t xml:space="preserve">needs to provide </w:t>
      </w:r>
      <w:r w:rsidR="002B746A">
        <w:rPr>
          <w:rFonts w:eastAsia="宋体"/>
          <w:kern w:val="0"/>
          <w:szCs w:val="20"/>
        </w:rPr>
        <w:t xml:space="preserve">predicted </w:t>
      </w:r>
      <w:r w:rsidR="000671D7">
        <w:rPr>
          <w:rFonts w:eastAsia="宋体"/>
          <w:kern w:val="0"/>
          <w:szCs w:val="20"/>
        </w:rPr>
        <w:t>frequency to the UE; the AI model with temporal domain</w:t>
      </w:r>
      <w:r w:rsidR="002B746A">
        <w:rPr>
          <w:rFonts w:eastAsia="宋体"/>
          <w:kern w:val="0"/>
          <w:szCs w:val="20"/>
        </w:rPr>
        <w:t xml:space="preserve"> needs a</w:t>
      </w:r>
      <w:r w:rsidR="000671D7">
        <w:rPr>
          <w:rFonts w:eastAsia="宋体"/>
          <w:kern w:val="0"/>
          <w:szCs w:val="20"/>
        </w:rPr>
        <w:t xml:space="preserve"> certain measurement interval, the UE needs to check whether the UE can obtain the corresponding measurement interval</w:t>
      </w:r>
      <w:r w:rsidR="002B746A">
        <w:rPr>
          <w:rFonts w:eastAsia="宋体"/>
          <w:kern w:val="0"/>
          <w:szCs w:val="20"/>
        </w:rPr>
        <w:t xml:space="preserve"> with</w:t>
      </w:r>
      <w:r w:rsidR="00623426">
        <w:rPr>
          <w:rFonts w:eastAsia="宋体"/>
          <w:kern w:val="0"/>
          <w:szCs w:val="20"/>
        </w:rPr>
        <w:t xml:space="preserve"> indicated</w:t>
      </w:r>
      <w:r w:rsidR="002B746A">
        <w:rPr>
          <w:rFonts w:eastAsia="宋体"/>
          <w:kern w:val="0"/>
          <w:szCs w:val="20"/>
        </w:rPr>
        <w:t xml:space="preserve"> </w:t>
      </w:r>
      <w:r w:rsidR="002B746A" w:rsidRPr="002B746A">
        <w:rPr>
          <w:rFonts w:eastAsia="宋体"/>
          <w:i/>
          <w:kern w:val="0"/>
          <w:szCs w:val="20"/>
        </w:rPr>
        <w:t>SMTC</w:t>
      </w:r>
      <w:r w:rsidR="000671D7">
        <w:rPr>
          <w:rFonts w:eastAsia="宋体"/>
          <w:kern w:val="0"/>
          <w:szCs w:val="20"/>
        </w:rPr>
        <w:t xml:space="preserve">; and </w:t>
      </w:r>
      <w:r w:rsidR="00207876">
        <w:rPr>
          <w:rFonts w:eastAsia="宋体"/>
          <w:kern w:val="0"/>
          <w:szCs w:val="20"/>
        </w:rPr>
        <w:t xml:space="preserve">if sub use 2 (cell-&gt;cell) and sub use 3 (beam-&gt;cell) is used, the beam consolidation configurations </w:t>
      </w:r>
      <w:r w:rsidR="00623426">
        <w:rPr>
          <w:rFonts w:eastAsia="宋体"/>
          <w:kern w:val="0"/>
          <w:szCs w:val="20"/>
        </w:rPr>
        <w:t xml:space="preserve">can </w:t>
      </w:r>
      <w:r w:rsidR="00207876">
        <w:rPr>
          <w:rFonts w:eastAsia="宋体"/>
          <w:kern w:val="0"/>
          <w:szCs w:val="20"/>
        </w:rPr>
        <w:t>also impact applicability check.</w:t>
      </w:r>
    </w:p>
    <w:p w14:paraId="3D8A3B7B" w14:textId="6B5447F7" w:rsidR="00E92389" w:rsidRPr="00283B44" w:rsidRDefault="00E92389" w:rsidP="00E92389">
      <w:pPr>
        <w:ind w:left="1132" w:hangingChars="564" w:hanging="1132"/>
        <w:rPr>
          <w:b/>
        </w:rPr>
      </w:pPr>
      <w:r w:rsidRPr="00283B44">
        <w:rPr>
          <w:b/>
        </w:rPr>
        <w:t>Observation</w:t>
      </w:r>
      <w:r w:rsidR="000E2162">
        <w:rPr>
          <w:b/>
        </w:rPr>
        <w:t xml:space="preserve"> 5</w:t>
      </w:r>
      <w:r w:rsidRPr="00283B44">
        <w:rPr>
          <w:b/>
        </w:rPr>
        <w:t xml:space="preserve">: </w:t>
      </w:r>
      <w:r>
        <w:rPr>
          <w:b/>
        </w:rPr>
        <w:t xml:space="preserve">Similar to Option A, </w:t>
      </w:r>
      <w:r w:rsidR="00012D50">
        <w:rPr>
          <w:b/>
        </w:rPr>
        <w:t>a set of</w:t>
      </w:r>
      <w:r>
        <w:rPr>
          <w:b/>
        </w:rPr>
        <w:t xml:space="preserve"> inference parameters for Option B can include e.g. PW length, skipping pattern, measured frequency. In addition, </w:t>
      </w:r>
      <w:r w:rsidR="008171BF">
        <w:rPr>
          <w:b/>
        </w:rPr>
        <w:t>other configuration may also impact the applicability check, such as:</w:t>
      </w:r>
      <w:r>
        <w:rPr>
          <w:b/>
        </w:rPr>
        <w:t xml:space="preserve"> </w:t>
      </w:r>
      <w:r w:rsidR="00BE4A07" w:rsidRPr="00BE4A07">
        <w:rPr>
          <w:b/>
        </w:rPr>
        <w:t xml:space="preserve">predicted </w:t>
      </w:r>
      <w:r w:rsidRPr="00BE4A07">
        <w:rPr>
          <w:b/>
        </w:rPr>
        <w:t>freq</w:t>
      </w:r>
      <w:r w:rsidR="00012D50" w:rsidRPr="00BE4A07">
        <w:rPr>
          <w:b/>
        </w:rPr>
        <w:t>uency</w:t>
      </w:r>
      <w:r w:rsidR="00012D50" w:rsidRPr="00BE4A07">
        <w:rPr>
          <w:rFonts w:hint="eastAsia"/>
          <w:b/>
        </w:rPr>
        <w:t>、</w:t>
      </w:r>
      <w:r w:rsidR="00012D50">
        <w:rPr>
          <w:b/>
        </w:rPr>
        <w:t>SMTC</w:t>
      </w:r>
      <w:r w:rsidR="00012D50">
        <w:rPr>
          <w:rFonts w:hint="eastAsia"/>
          <w:b/>
        </w:rPr>
        <w:t>、</w:t>
      </w:r>
      <w:r w:rsidR="00012D50">
        <w:rPr>
          <w:rFonts w:hint="eastAsia"/>
          <w:b/>
        </w:rPr>
        <w:t>beam</w:t>
      </w:r>
      <w:r w:rsidR="00012D50">
        <w:rPr>
          <w:b/>
        </w:rPr>
        <w:t xml:space="preserve"> consolidation configurations (e.g. </w:t>
      </w:r>
      <w:proofErr w:type="spellStart"/>
      <w:r w:rsidR="00012D50" w:rsidRPr="00EB5F20">
        <w:rPr>
          <w:b/>
          <w:i/>
        </w:rPr>
        <w:t>absThreshSS-BlocksConsolidation</w:t>
      </w:r>
      <w:proofErr w:type="spellEnd"/>
      <w:r w:rsidR="00012D50">
        <w:rPr>
          <w:b/>
        </w:rPr>
        <w:t xml:space="preserve">, </w:t>
      </w:r>
      <w:proofErr w:type="spellStart"/>
      <w:r w:rsidR="00012D50" w:rsidRPr="00EB5F20">
        <w:rPr>
          <w:b/>
          <w:i/>
        </w:rPr>
        <w:t>nrofSSB-BlocksToAverage</w:t>
      </w:r>
      <w:proofErr w:type="spellEnd"/>
      <w:r w:rsidR="00012D50">
        <w:rPr>
          <w:b/>
        </w:rPr>
        <w:t>)</w:t>
      </w:r>
      <w:r w:rsidRPr="00283B44">
        <w:rPr>
          <w:b/>
        </w:rPr>
        <w:t>.</w:t>
      </w:r>
    </w:p>
    <w:p w14:paraId="41D1FB46" w14:textId="51E7FD1B" w:rsidR="00AA34C8" w:rsidRDefault="00EC1910" w:rsidP="00504C14">
      <w:pPr>
        <w:rPr>
          <w:rFonts w:eastAsia="宋体"/>
          <w:kern w:val="0"/>
          <w:szCs w:val="20"/>
        </w:rPr>
      </w:pPr>
      <w:r>
        <w:rPr>
          <w:rFonts w:eastAsia="宋体" w:hint="eastAsia"/>
          <w:kern w:val="0"/>
          <w:szCs w:val="20"/>
        </w:rPr>
        <w:t>S</w:t>
      </w:r>
      <w:r>
        <w:rPr>
          <w:rFonts w:eastAsia="宋体"/>
          <w:kern w:val="0"/>
          <w:szCs w:val="20"/>
        </w:rPr>
        <w:t xml:space="preserve">ince it is agreed to use existing RRM measurement configuration for </w:t>
      </w:r>
      <w:r w:rsidR="00D93FB1">
        <w:rPr>
          <w:rFonts w:eastAsia="宋体"/>
          <w:kern w:val="0"/>
          <w:szCs w:val="20"/>
        </w:rPr>
        <w:t xml:space="preserve">inference configuration and the </w:t>
      </w:r>
      <w:proofErr w:type="spellStart"/>
      <w:r w:rsidR="00D93FB1">
        <w:rPr>
          <w:rFonts w:eastAsia="宋体"/>
          <w:kern w:val="0"/>
          <w:szCs w:val="20"/>
        </w:rPr>
        <w:t>measObjectNR</w:t>
      </w:r>
      <w:proofErr w:type="spellEnd"/>
      <w:r w:rsidR="00D93FB1">
        <w:rPr>
          <w:rFonts w:eastAsia="宋体"/>
          <w:kern w:val="0"/>
          <w:szCs w:val="20"/>
        </w:rPr>
        <w:t xml:space="preserve"> already supports to provide the configurations above, we think </w:t>
      </w:r>
      <w:proofErr w:type="spellStart"/>
      <w:r w:rsidR="00D93FB1">
        <w:rPr>
          <w:rFonts w:eastAsia="宋体"/>
          <w:kern w:val="0"/>
          <w:szCs w:val="20"/>
        </w:rPr>
        <w:t>MeasObjectNR</w:t>
      </w:r>
      <w:proofErr w:type="spellEnd"/>
      <w:r w:rsidR="00D93FB1">
        <w:rPr>
          <w:rFonts w:eastAsia="宋体"/>
          <w:kern w:val="0"/>
          <w:szCs w:val="20"/>
        </w:rPr>
        <w:t xml:space="preserve"> can be included in a set of inference parameters for option B</w:t>
      </w:r>
      <w:r w:rsidR="00504C14">
        <w:rPr>
          <w:rFonts w:eastAsia="宋体"/>
          <w:kern w:val="0"/>
          <w:szCs w:val="20"/>
        </w:rPr>
        <w:t>. In this way,</w:t>
      </w:r>
      <w:r w:rsidR="00C5087B">
        <w:rPr>
          <w:rFonts w:eastAsia="宋体"/>
          <w:kern w:val="0"/>
          <w:szCs w:val="20"/>
        </w:rPr>
        <w:t xml:space="preserve"> multiple set of inference parameters</w:t>
      </w:r>
      <w:r w:rsidR="00504C14">
        <w:rPr>
          <w:rFonts w:eastAsia="宋体"/>
          <w:kern w:val="0"/>
          <w:szCs w:val="20"/>
        </w:rPr>
        <w:t xml:space="preserve"> for the same prediction target</w:t>
      </w:r>
      <w:r w:rsidR="00C5087B">
        <w:rPr>
          <w:rFonts w:eastAsia="宋体"/>
          <w:kern w:val="0"/>
          <w:szCs w:val="20"/>
        </w:rPr>
        <w:t xml:space="preserve"> can share one measurement configuration, which is simpler and reduces signaling overhead.</w:t>
      </w:r>
      <w:r w:rsidR="00C5087B">
        <w:rPr>
          <w:rFonts w:eastAsia="宋体" w:hint="eastAsia"/>
          <w:kern w:val="0"/>
          <w:szCs w:val="20"/>
        </w:rPr>
        <w:t xml:space="preserve"> </w:t>
      </w:r>
    </w:p>
    <w:p w14:paraId="4FC9E096" w14:textId="3E258022" w:rsidR="00012D50" w:rsidRPr="00283B44" w:rsidRDefault="00012D50" w:rsidP="00012D50">
      <w:pPr>
        <w:ind w:left="1132" w:hangingChars="564" w:hanging="1132"/>
        <w:rPr>
          <w:b/>
        </w:rPr>
      </w:pPr>
      <w:r w:rsidRPr="00283B44">
        <w:rPr>
          <w:b/>
        </w:rPr>
        <w:t>Observation</w:t>
      </w:r>
      <w:r w:rsidR="000E2162">
        <w:rPr>
          <w:b/>
        </w:rPr>
        <w:t xml:space="preserve"> 6</w:t>
      </w:r>
      <w:r w:rsidRPr="00283B44">
        <w:rPr>
          <w:b/>
        </w:rPr>
        <w:t>:</w:t>
      </w:r>
      <w:r>
        <w:rPr>
          <w:b/>
        </w:rPr>
        <w:t xml:space="preserve"> </w:t>
      </w:r>
      <w:r w:rsidR="008171BF">
        <w:rPr>
          <w:b/>
        </w:rPr>
        <w:t xml:space="preserve">For simplicity and </w:t>
      </w:r>
      <w:proofErr w:type="spellStart"/>
      <w:r w:rsidR="008171BF">
        <w:rPr>
          <w:b/>
        </w:rPr>
        <w:t>signalling</w:t>
      </w:r>
      <w:proofErr w:type="spellEnd"/>
      <w:r w:rsidR="008171BF">
        <w:rPr>
          <w:b/>
        </w:rPr>
        <w:t xml:space="preserve"> reduction, the each set of inference parameters can link to one </w:t>
      </w:r>
      <w:proofErr w:type="spellStart"/>
      <w:r w:rsidR="008171BF" w:rsidRPr="00EA3A2F">
        <w:rPr>
          <w:b/>
          <w:i/>
        </w:rPr>
        <w:t>measObjectID</w:t>
      </w:r>
      <w:proofErr w:type="spellEnd"/>
      <w:r w:rsidRPr="00283B44">
        <w:rPr>
          <w:b/>
        </w:rPr>
        <w:t>.</w:t>
      </w:r>
    </w:p>
    <w:p w14:paraId="14F33A62" w14:textId="110A316B" w:rsidR="00012D50" w:rsidRPr="008171BF" w:rsidRDefault="00697A57" w:rsidP="00E92389">
      <w:pPr>
        <w:rPr>
          <w:rFonts w:eastAsia="宋体"/>
          <w:kern w:val="0"/>
          <w:szCs w:val="20"/>
        </w:rPr>
      </w:pPr>
      <w:r>
        <w:rPr>
          <w:rFonts w:eastAsia="宋体"/>
          <w:kern w:val="0"/>
          <w:szCs w:val="20"/>
        </w:rPr>
        <w:t>B</w:t>
      </w:r>
      <w:r w:rsidR="002C6AFD">
        <w:rPr>
          <w:rFonts w:eastAsia="宋体"/>
          <w:kern w:val="0"/>
          <w:szCs w:val="20"/>
        </w:rPr>
        <w:t xml:space="preserve">ased on the analysis above, we think each set of inference parameters include one set Id, one </w:t>
      </w:r>
      <w:proofErr w:type="spellStart"/>
      <w:r w:rsidR="002C6AFD" w:rsidRPr="002C6AFD">
        <w:rPr>
          <w:rFonts w:eastAsia="宋体"/>
          <w:i/>
          <w:kern w:val="0"/>
          <w:szCs w:val="20"/>
        </w:rPr>
        <w:t>measObjectId</w:t>
      </w:r>
      <w:proofErr w:type="spellEnd"/>
      <w:r w:rsidR="002C6AFD">
        <w:rPr>
          <w:rFonts w:eastAsia="宋体"/>
          <w:kern w:val="0"/>
          <w:szCs w:val="20"/>
        </w:rPr>
        <w:t xml:space="preserve"> and the prediction related parameters, e.g. </w:t>
      </w:r>
      <w:r w:rsidR="009A63B4">
        <w:rPr>
          <w:rFonts w:eastAsia="宋体"/>
          <w:kern w:val="0"/>
          <w:szCs w:val="20"/>
        </w:rPr>
        <w:t>PW length, skipping pattern and measured frequency.</w:t>
      </w:r>
    </w:p>
    <w:p w14:paraId="3B5A7DAE" w14:textId="46312ED6" w:rsidR="00012D50" w:rsidRDefault="00E92389" w:rsidP="00E92389">
      <w:pPr>
        <w:ind w:left="1132" w:hangingChars="564" w:hanging="1132"/>
        <w:rPr>
          <w:b/>
        </w:rPr>
      </w:pPr>
      <w:r>
        <w:rPr>
          <w:b/>
        </w:rPr>
        <w:t xml:space="preserve">Proposal </w:t>
      </w:r>
      <w:r w:rsidR="000E2162">
        <w:rPr>
          <w:b/>
        </w:rPr>
        <w:t>9</w:t>
      </w:r>
      <w:r>
        <w:rPr>
          <w:b/>
        </w:rPr>
        <w:tab/>
        <w:t>For Option B,</w:t>
      </w:r>
      <w:r w:rsidR="00012D50">
        <w:rPr>
          <w:b/>
        </w:rPr>
        <w:t xml:space="preserve"> each set of </w:t>
      </w:r>
      <w:r>
        <w:rPr>
          <w:b/>
        </w:rPr>
        <w:t xml:space="preserve">inference parameters </w:t>
      </w:r>
      <w:r w:rsidR="00012D50">
        <w:rPr>
          <w:b/>
        </w:rPr>
        <w:t>include:</w:t>
      </w:r>
    </w:p>
    <w:p w14:paraId="010A5042" w14:textId="0A463C4C" w:rsidR="00012D50" w:rsidRDefault="00012D50" w:rsidP="00012D50">
      <w:pPr>
        <w:pStyle w:val="aff9"/>
        <w:numPr>
          <w:ilvl w:val="0"/>
          <w:numId w:val="27"/>
        </w:numPr>
        <w:ind w:firstLineChars="0"/>
        <w:rPr>
          <w:b/>
        </w:rPr>
      </w:pPr>
      <w:r>
        <w:rPr>
          <w:rFonts w:hint="eastAsia"/>
          <w:b/>
        </w:rPr>
        <w:t>S</w:t>
      </w:r>
      <w:r>
        <w:rPr>
          <w:b/>
        </w:rPr>
        <w:t>et ID;</w:t>
      </w:r>
    </w:p>
    <w:p w14:paraId="4383E350" w14:textId="028D4DC8" w:rsidR="00012D50" w:rsidRDefault="00012D50" w:rsidP="00012D50">
      <w:pPr>
        <w:pStyle w:val="aff9"/>
        <w:numPr>
          <w:ilvl w:val="0"/>
          <w:numId w:val="27"/>
        </w:numPr>
        <w:ind w:firstLineChars="0"/>
        <w:rPr>
          <w:b/>
        </w:rPr>
      </w:pPr>
      <w:proofErr w:type="spellStart"/>
      <w:r>
        <w:rPr>
          <w:rFonts w:hint="eastAsia"/>
          <w:b/>
        </w:rPr>
        <w:t>M</w:t>
      </w:r>
      <w:r>
        <w:rPr>
          <w:b/>
        </w:rPr>
        <w:t>easObjectID</w:t>
      </w:r>
      <w:proofErr w:type="spellEnd"/>
      <w:r>
        <w:rPr>
          <w:b/>
        </w:rPr>
        <w:t>;</w:t>
      </w:r>
    </w:p>
    <w:p w14:paraId="4ACF31E4" w14:textId="523F50F7" w:rsidR="00E92389" w:rsidRPr="008171BF" w:rsidRDefault="00012D50" w:rsidP="008171BF">
      <w:pPr>
        <w:pStyle w:val="aff9"/>
        <w:numPr>
          <w:ilvl w:val="0"/>
          <w:numId w:val="27"/>
        </w:numPr>
        <w:ind w:firstLineChars="0"/>
        <w:rPr>
          <w:b/>
        </w:rPr>
      </w:pPr>
      <w:r>
        <w:rPr>
          <w:b/>
        </w:rPr>
        <w:t xml:space="preserve">Prediction related parameters, </w:t>
      </w:r>
      <w:r w:rsidR="00E92389" w:rsidRPr="00012D50">
        <w:rPr>
          <w:b/>
        </w:rPr>
        <w:t>e.g. PW length, skipping pattern, measured frequency.</w:t>
      </w:r>
    </w:p>
    <w:p w14:paraId="6EC2A702" w14:textId="11C2BB6B" w:rsidR="008B7AE3" w:rsidRDefault="008B7AE3" w:rsidP="00BB464F">
      <w:pPr>
        <w:spacing w:beforeLines="50" w:before="156"/>
        <w:rPr>
          <w:b/>
        </w:rPr>
      </w:pPr>
    </w:p>
    <w:p w14:paraId="769CB708" w14:textId="025D1115" w:rsidR="008B7AE3" w:rsidRPr="008171BF" w:rsidRDefault="008171BF" w:rsidP="008171BF">
      <w:pPr>
        <w:pStyle w:val="2"/>
      </w:pPr>
      <w:r>
        <w:t>2.2</w:t>
      </w:r>
      <w:r>
        <w:tab/>
      </w:r>
      <w:r w:rsidR="008B7AE3" w:rsidRPr="008171BF">
        <w:t>When to perform</w:t>
      </w:r>
      <w:r>
        <w:t xml:space="preserve"> model</w:t>
      </w:r>
      <w:r w:rsidR="008B7AE3" w:rsidRPr="008171BF">
        <w:t xml:space="preserve"> inference</w:t>
      </w:r>
    </w:p>
    <w:p w14:paraId="630FE593" w14:textId="6E2552C0" w:rsidR="00AC3649" w:rsidRDefault="00AC3649" w:rsidP="00AC3649">
      <w:r w:rsidRPr="007D1A77">
        <w:rPr>
          <w:rFonts w:hint="eastAsia"/>
        </w:rPr>
        <w:t>I</w:t>
      </w:r>
      <w:r w:rsidRPr="007D1A77">
        <w:t>n the previous meeting, we have agreed that</w:t>
      </w:r>
      <w:r>
        <w:rPr>
          <w:rFonts w:hint="eastAsia"/>
        </w:rPr>
        <w:t xml:space="preserve"> the</w:t>
      </w:r>
      <w:r>
        <w:t xml:space="preserve"> UE applies the inference configuration for the applicable RRM measurement prediction upon receiving configuration via RRC. But it is still FFS that when t</w:t>
      </w:r>
      <w:r w:rsidR="00C80C2B">
        <w:t>o</w:t>
      </w:r>
      <w:r>
        <w:t xml:space="preserve"> perform inference.</w:t>
      </w:r>
    </w:p>
    <w:p w14:paraId="73E73694" w14:textId="77777777" w:rsidR="00AC3649" w:rsidRDefault="00AC3649" w:rsidP="00AC3649">
      <w:r>
        <w:rPr>
          <w:rFonts w:hint="eastAsia"/>
        </w:rPr>
        <w:t>F</w:t>
      </w:r>
      <w:r>
        <w:t>or AI-mobility, we have two study goals:</w:t>
      </w:r>
    </w:p>
    <w:p w14:paraId="0825C77A" w14:textId="77777777" w:rsidR="00AC3649" w:rsidRDefault="00AC3649" w:rsidP="00AC3649">
      <w:pPr>
        <w:pStyle w:val="aff9"/>
        <w:numPr>
          <w:ilvl w:val="0"/>
          <w:numId w:val="29"/>
        </w:numPr>
        <w:ind w:firstLineChars="0"/>
      </w:pPr>
      <w:r>
        <w:rPr>
          <w:rFonts w:hint="eastAsia"/>
        </w:rPr>
        <w:t>S</w:t>
      </w:r>
      <w:r>
        <w:t>tudy goal 1: To reduce measurement efforts;</w:t>
      </w:r>
    </w:p>
    <w:p w14:paraId="2C62429A" w14:textId="77777777" w:rsidR="00AC3649" w:rsidRDefault="00AC3649" w:rsidP="00AC3649">
      <w:pPr>
        <w:pStyle w:val="aff9"/>
        <w:numPr>
          <w:ilvl w:val="0"/>
          <w:numId w:val="29"/>
        </w:numPr>
        <w:ind w:firstLineChars="0"/>
      </w:pPr>
      <w:r>
        <w:rPr>
          <w:rFonts w:hint="eastAsia"/>
        </w:rPr>
        <w:t>S</w:t>
      </w:r>
      <w:r>
        <w:t>tudy goal 2: To improve the handover performance.</w:t>
      </w:r>
    </w:p>
    <w:p w14:paraId="50A1D906" w14:textId="079BCBBE" w:rsidR="00AC3649" w:rsidRPr="0038280C" w:rsidRDefault="00AC3649" w:rsidP="0038280C">
      <w:pPr>
        <w:ind w:left="100"/>
        <w:rPr>
          <w:rFonts w:eastAsia="宋体"/>
          <w:kern w:val="0"/>
          <w:szCs w:val="20"/>
        </w:rPr>
      </w:pPr>
      <w:r>
        <w:rPr>
          <w:rFonts w:hint="eastAsia"/>
        </w:rPr>
        <w:t>F</w:t>
      </w:r>
      <w:r>
        <w:t>or the 1</w:t>
      </w:r>
      <w:r w:rsidRPr="0054185B">
        <w:rPr>
          <w:vertAlign w:val="superscript"/>
        </w:rPr>
        <w:t>st</w:t>
      </w:r>
      <w:r>
        <w:t xml:space="preserve"> study goal, the UE shall perform inference as early as possible, in order to obtain the gain that measurement reduction and measurement gap reduction as early as possible. For temporal domain case B, upon the receiving applicability reporting, the network can stop transmitting the SSB at the time instance for prediction, in order to save network energy and reduce UE measurement efforts. For frequency domain prediction, upon the receiving applicability reporting, the gap configuration can be reduced or even avoided. If the UE performs inference earlier, the throughput gain can be obtained earlier.</w:t>
      </w:r>
      <w:r w:rsidR="0038280C">
        <w:t xml:space="preserve"> </w:t>
      </w:r>
      <w:r w:rsidR="0038280C" w:rsidRPr="0034608E">
        <w:rPr>
          <w:rFonts w:eastAsia="宋体"/>
          <w:kern w:val="0"/>
          <w:szCs w:val="20"/>
        </w:rPr>
        <w:t>Therefore, we think for temporal domain case B</w:t>
      </w:r>
      <w:r w:rsidR="0038280C">
        <w:rPr>
          <w:rFonts w:eastAsia="宋体"/>
          <w:kern w:val="0"/>
          <w:szCs w:val="20"/>
        </w:rPr>
        <w:t xml:space="preserve"> and</w:t>
      </w:r>
      <w:r w:rsidR="0038280C" w:rsidRPr="0034608E">
        <w:rPr>
          <w:rFonts w:eastAsia="宋体"/>
          <w:kern w:val="0"/>
          <w:szCs w:val="20"/>
        </w:rPr>
        <w:t xml:space="preserve"> frequency domain prediction, the UE perform</w:t>
      </w:r>
      <w:r w:rsidR="0038280C">
        <w:rPr>
          <w:rFonts w:eastAsia="宋体"/>
          <w:kern w:val="0"/>
          <w:szCs w:val="20"/>
        </w:rPr>
        <w:t>s model</w:t>
      </w:r>
      <w:r w:rsidR="0038280C" w:rsidRPr="0034608E">
        <w:rPr>
          <w:rFonts w:eastAsia="宋体"/>
          <w:kern w:val="0"/>
          <w:szCs w:val="20"/>
        </w:rPr>
        <w:t xml:space="preserve"> inference </w:t>
      </w:r>
      <w:r w:rsidR="0038280C">
        <w:rPr>
          <w:rFonts w:eastAsia="宋体"/>
          <w:kern w:val="0"/>
          <w:szCs w:val="20"/>
        </w:rPr>
        <w:t>immediately after receiving</w:t>
      </w:r>
      <w:r w:rsidR="0038280C" w:rsidRPr="0034608E">
        <w:rPr>
          <w:rFonts w:eastAsia="宋体"/>
          <w:kern w:val="0"/>
          <w:szCs w:val="20"/>
        </w:rPr>
        <w:t xml:space="preserve"> </w:t>
      </w:r>
      <w:r w:rsidR="0038280C">
        <w:rPr>
          <w:rFonts w:eastAsia="宋体"/>
          <w:kern w:val="0"/>
          <w:szCs w:val="20"/>
        </w:rPr>
        <w:t xml:space="preserve">the </w:t>
      </w:r>
      <w:r w:rsidR="0038280C" w:rsidRPr="0034608E">
        <w:rPr>
          <w:rFonts w:eastAsia="宋体"/>
          <w:kern w:val="0"/>
          <w:szCs w:val="20"/>
        </w:rPr>
        <w:t>full inference configuration.</w:t>
      </w:r>
    </w:p>
    <w:p w14:paraId="505E40AA" w14:textId="6374726D" w:rsidR="00571FE8" w:rsidRPr="00283B44" w:rsidRDefault="00571FE8" w:rsidP="00571FE8">
      <w:pPr>
        <w:ind w:left="1132" w:hangingChars="564" w:hanging="1132"/>
        <w:rPr>
          <w:b/>
        </w:rPr>
      </w:pPr>
      <w:r w:rsidRPr="00283B44">
        <w:rPr>
          <w:b/>
        </w:rPr>
        <w:t>Observation</w:t>
      </w:r>
      <w:r w:rsidR="000E2162">
        <w:rPr>
          <w:b/>
        </w:rPr>
        <w:t xml:space="preserve"> 7</w:t>
      </w:r>
      <w:r w:rsidRPr="00283B44">
        <w:rPr>
          <w:b/>
        </w:rPr>
        <w:t>:</w:t>
      </w:r>
      <w:r>
        <w:rPr>
          <w:b/>
        </w:rPr>
        <w:t xml:space="preserve"> For the 1</w:t>
      </w:r>
      <w:r>
        <w:rPr>
          <w:b/>
          <w:vertAlign w:val="superscript"/>
        </w:rPr>
        <w:t>st</w:t>
      </w:r>
      <w:r>
        <w:rPr>
          <w:b/>
        </w:rPr>
        <w:t xml:space="preserve"> study goal, earlier UE inference enables earlier realization of measurement reduction and throughput improvements</w:t>
      </w:r>
      <w:r w:rsidRPr="00283B44">
        <w:rPr>
          <w:b/>
        </w:rPr>
        <w:t>.</w:t>
      </w:r>
    </w:p>
    <w:p w14:paraId="689598F9" w14:textId="7F68306F" w:rsidR="00571FE8" w:rsidRDefault="00571FE8" w:rsidP="00571FE8">
      <w:pPr>
        <w:ind w:left="1132" w:hangingChars="564" w:hanging="1132"/>
        <w:rPr>
          <w:b/>
        </w:rPr>
      </w:pPr>
      <w:r>
        <w:rPr>
          <w:b/>
        </w:rPr>
        <w:t xml:space="preserve">Proposal </w:t>
      </w:r>
      <w:r w:rsidR="000E2162">
        <w:rPr>
          <w:b/>
        </w:rPr>
        <w:t>10 F</w:t>
      </w:r>
      <w:r>
        <w:rPr>
          <w:b/>
        </w:rPr>
        <w:t xml:space="preserve">or temporal domain Case B and frequency domain prediction, the UE performs model inference </w:t>
      </w:r>
      <w:r w:rsidR="00FA519F">
        <w:rPr>
          <w:b/>
        </w:rPr>
        <w:lastRenderedPageBreak/>
        <w:t xml:space="preserve">immediately after </w:t>
      </w:r>
      <w:r w:rsidR="004F04BC">
        <w:rPr>
          <w:b/>
        </w:rPr>
        <w:t xml:space="preserve">receiving </w:t>
      </w:r>
      <w:r w:rsidR="00FA519F">
        <w:rPr>
          <w:b/>
        </w:rPr>
        <w:t>the full inference configuration.</w:t>
      </w:r>
    </w:p>
    <w:p w14:paraId="57F080F6" w14:textId="2DC2D339" w:rsidR="00DE0693" w:rsidRDefault="00DE0693" w:rsidP="005B00AD">
      <w:pPr>
        <w:ind w:left="100"/>
        <w:rPr>
          <w:rFonts w:eastAsia="宋体"/>
          <w:kern w:val="0"/>
          <w:szCs w:val="20"/>
          <w:lang w:val="en-GB"/>
        </w:rPr>
      </w:pPr>
      <w:r>
        <w:rPr>
          <w:rFonts w:eastAsia="宋体"/>
          <w:kern w:val="0"/>
          <w:szCs w:val="20"/>
          <w:lang w:val="en-GB"/>
        </w:rPr>
        <w:t>For temporal domain Case A</w:t>
      </w:r>
      <w:r w:rsidRPr="00DE0693">
        <w:rPr>
          <w:rFonts w:eastAsia="宋体"/>
          <w:kern w:val="0"/>
          <w:szCs w:val="20"/>
          <w:lang w:val="en-GB"/>
        </w:rPr>
        <w:t xml:space="preserve">, </w:t>
      </w:r>
      <w:r>
        <w:rPr>
          <w:rFonts w:eastAsia="宋体"/>
          <w:kern w:val="0"/>
          <w:szCs w:val="20"/>
          <w:lang w:val="en-GB"/>
        </w:rPr>
        <w:t xml:space="preserve">the typical use case is to predict when the handover </w:t>
      </w:r>
      <w:r w:rsidR="004C09E5">
        <w:rPr>
          <w:rFonts w:eastAsia="宋体"/>
          <w:kern w:val="0"/>
          <w:szCs w:val="20"/>
          <w:lang w:val="en-GB"/>
        </w:rPr>
        <w:t>will happen</w:t>
      </w:r>
      <w:r>
        <w:rPr>
          <w:rFonts w:eastAsia="宋体"/>
          <w:kern w:val="0"/>
          <w:szCs w:val="20"/>
          <w:lang w:val="en-GB"/>
        </w:rPr>
        <w:t xml:space="preserve">. </w:t>
      </w:r>
      <w:r w:rsidR="00F27870">
        <w:rPr>
          <w:rFonts w:eastAsia="宋体"/>
          <w:kern w:val="0"/>
          <w:szCs w:val="20"/>
          <w:lang w:val="en-GB"/>
        </w:rPr>
        <w:t xml:space="preserve">If the UE performs inference when the </w:t>
      </w:r>
      <w:r w:rsidR="00205C59">
        <w:rPr>
          <w:rFonts w:eastAsia="宋体"/>
          <w:kern w:val="0"/>
          <w:szCs w:val="20"/>
          <w:lang w:val="en-GB"/>
        </w:rPr>
        <w:t>UE is near cell edge (i.e. w</w:t>
      </w:r>
      <w:r w:rsidR="00205C59" w:rsidRPr="00DE0693">
        <w:rPr>
          <w:rFonts w:eastAsia="宋体"/>
          <w:kern w:val="0"/>
          <w:szCs w:val="20"/>
          <w:lang w:val="en-GB"/>
        </w:rPr>
        <w:t>hen the channel quality of the serving cell is good</w:t>
      </w:r>
      <w:r w:rsidR="00205C59">
        <w:rPr>
          <w:rFonts w:eastAsia="宋体"/>
          <w:kern w:val="0"/>
          <w:szCs w:val="20"/>
          <w:lang w:val="en-GB"/>
        </w:rPr>
        <w:t>), the prediction results can not be used by the network to make a handover decision, and increase GPU/CPU consumption.</w:t>
      </w:r>
      <w:r w:rsidR="005B00AD">
        <w:rPr>
          <w:rFonts w:eastAsia="宋体"/>
          <w:kern w:val="0"/>
          <w:szCs w:val="20"/>
          <w:lang w:val="en-GB"/>
        </w:rPr>
        <w:t xml:space="preserve"> </w:t>
      </w:r>
      <w:r>
        <w:rPr>
          <w:rFonts w:eastAsia="宋体"/>
          <w:kern w:val="0"/>
          <w:szCs w:val="20"/>
          <w:lang w:val="en-GB"/>
        </w:rPr>
        <w:t>So, in order to avoid unnecessary prediction, it is fine to start the inference when the UE is near cell edge.</w:t>
      </w:r>
    </w:p>
    <w:p w14:paraId="190842A2" w14:textId="538F7531" w:rsidR="004F04BC" w:rsidRDefault="004F04BC" w:rsidP="004F04BC">
      <w:pPr>
        <w:ind w:left="1132" w:hangingChars="564" w:hanging="1132"/>
        <w:rPr>
          <w:b/>
        </w:rPr>
      </w:pPr>
      <w:r w:rsidRPr="00283B44">
        <w:rPr>
          <w:b/>
        </w:rPr>
        <w:t>Observation</w:t>
      </w:r>
      <w:r w:rsidR="000E2162">
        <w:rPr>
          <w:b/>
        </w:rPr>
        <w:t xml:space="preserve"> 8</w:t>
      </w:r>
      <w:r w:rsidRPr="00283B44">
        <w:rPr>
          <w:b/>
        </w:rPr>
        <w:t>:</w:t>
      </w:r>
      <w:r>
        <w:rPr>
          <w:b/>
        </w:rPr>
        <w:t xml:space="preserve"> For temporal domain Cas</w:t>
      </w:r>
      <w:r w:rsidRPr="004C09E5">
        <w:rPr>
          <w:b/>
        </w:rPr>
        <w:t>e A, the typical use case is to predict when the handover will happen.</w:t>
      </w:r>
      <w:r>
        <w:rPr>
          <w:b/>
        </w:rPr>
        <w:t xml:space="preserve"> So, to reduce the GPU/CPU cons</w:t>
      </w:r>
      <w:r w:rsidRPr="007F3FBF">
        <w:rPr>
          <w:b/>
        </w:rPr>
        <w:t xml:space="preserve">umption, it is fine to start the inference when the UE is near cell edge. </w:t>
      </w:r>
    </w:p>
    <w:p w14:paraId="74868782" w14:textId="499207A1" w:rsidR="004F04BC" w:rsidRDefault="00F56812" w:rsidP="004F04BC">
      <w:pPr>
        <w:ind w:left="1128" w:hangingChars="564" w:hanging="1128"/>
      </w:pPr>
      <w:r w:rsidRPr="00F56812">
        <w:t>In order to make the UE performs inference</w:t>
      </w:r>
      <w:r>
        <w:t xml:space="preserve"> when the UE is near cell edge, the following </w:t>
      </w:r>
      <w:r w:rsidR="00AC2349">
        <w:t>solutions</w:t>
      </w:r>
      <w:r>
        <w:t xml:space="preserve"> can be considered:</w:t>
      </w:r>
    </w:p>
    <w:p w14:paraId="6923DB1E" w14:textId="1BBD49D0" w:rsidR="00F56812" w:rsidRPr="00AC2349" w:rsidRDefault="00AC2349" w:rsidP="00F56812">
      <w:pPr>
        <w:ind w:left="1128" w:hangingChars="564" w:hanging="1128"/>
      </w:pPr>
      <w:r>
        <w:t>Solutio</w:t>
      </w:r>
      <w:r w:rsidRPr="00AC2349">
        <w:t>n</w:t>
      </w:r>
      <w:r w:rsidR="00F56812" w:rsidRPr="00AC2349">
        <w:t xml:space="preserve"> 1: The network sends inference configuration when the quality of the serving cell is bad</w:t>
      </w:r>
      <w:r w:rsidRPr="00AC2349">
        <w:t xml:space="preserve">, and the UE perform inference immediately </w:t>
      </w:r>
      <w:r w:rsidR="003F00AA">
        <w:t xml:space="preserve">after receiving inference </w:t>
      </w:r>
      <w:r w:rsidR="00D07466">
        <w:t>configurations</w:t>
      </w:r>
      <w:r w:rsidR="003F00AA">
        <w:t>.</w:t>
      </w:r>
    </w:p>
    <w:p w14:paraId="1F99FA9F" w14:textId="5E68140D" w:rsidR="00F56812" w:rsidRPr="00AC2349" w:rsidRDefault="00AC2349" w:rsidP="00F56812">
      <w:pPr>
        <w:ind w:left="1128" w:hangingChars="564" w:hanging="1128"/>
      </w:pPr>
      <w:r w:rsidRPr="00AC2349">
        <w:t>Solution</w:t>
      </w:r>
      <w:r w:rsidR="00F56812" w:rsidRPr="00AC2349">
        <w:t xml:space="preserve"> 2-1: The network sends inference configuration in advance, and the UE performs inference when a pre-configured condition is met</w:t>
      </w:r>
      <w:r w:rsidR="00C40DC5">
        <w:t xml:space="preserve"> </w:t>
      </w:r>
      <w:r w:rsidR="00C40DC5" w:rsidRPr="00C40DC5">
        <w:t>(e.g. s-Measure or A3 event)</w:t>
      </w:r>
      <w:r w:rsidR="00F56812" w:rsidRPr="00AC2349">
        <w:t>.</w:t>
      </w:r>
    </w:p>
    <w:p w14:paraId="0E3B87E0" w14:textId="7E67EF8B" w:rsidR="00F56812" w:rsidRPr="00AC2349" w:rsidRDefault="00AC2349" w:rsidP="00F56812">
      <w:pPr>
        <w:ind w:left="1128" w:hangingChars="564" w:hanging="1128"/>
      </w:pPr>
      <w:r w:rsidRPr="00AC2349">
        <w:t>Solution</w:t>
      </w:r>
      <w:r w:rsidR="00F56812" w:rsidRPr="00AC2349">
        <w:t xml:space="preserve"> 2-2: The network sends inference configuration in advance, and the UE determines when to perform inference.</w:t>
      </w:r>
    </w:p>
    <w:p w14:paraId="23825C6E" w14:textId="277888BD" w:rsidR="00AC2349" w:rsidRDefault="00AC2349" w:rsidP="00AC2349">
      <w:pPr>
        <w:spacing w:after="0"/>
      </w:pPr>
      <w:r>
        <w:t>O</w:t>
      </w:r>
      <w:r w:rsidR="00F56812" w:rsidRPr="00F56812">
        <w:t>ption 1 is most simple and straightforward.</w:t>
      </w:r>
      <w:r w:rsidR="00F56812">
        <w:t xml:space="preserve"> </w:t>
      </w:r>
      <w:r>
        <w:rPr>
          <w:rFonts w:hint="eastAsia"/>
        </w:rPr>
        <w:t>F</w:t>
      </w:r>
      <w:r>
        <w:t>or both option 2-1 and option 2-2, the network sends inference configuration in advance, and the UE will not perform inference immediately. The difference is that for option 2-1, the network can control when to perform inference, and for option 2-2, it is up to UE implementation to determine when to perform inference. In our understanding, with the control of when to perform inference, the network can have more flexibility on how to use the prediction results. For example, if the UE performs inference when the entering condition is met based on the actual measurement, the network may have more trust on prediction results.</w:t>
      </w:r>
      <w:r w:rsidR="00C40DC5">
        <w:t xml:space="preserve"> So, we think RAN2 can discuss and select </w:t>
      </w:r>
      <w:r w:rsidR="00780659">
        <w:t xml:space="preserve">among </w:t>
      </w:r>
      <w:r w:rsidR="00C40DC5">
        <w:t>solution 1 or solution 2-1.</w:t>
      </w:r>
    </w:p>
    <w:p w14:paraId="5F22153A" w14:textId="44CD00D2" w:rsidR="004F04BC" w:rsidRDefault="004F04BC" w:rsidP="004F04BC">
      <w:pPr>
        <w:ind w:left="1132" w:hangingChars="564" w:hanging="1132"/>
        <w:rPr>
          <w:b/>
        </w:rPr>
      </w:pPr>
      <w:r w:rsidRPr="00AC2349">
        <w:rPr>
          <w:b/>
        </w:rPr>
        <w:t>Observation</w:t>
      </w:r>
      <w:r w:rsidR="000E2162">
        <w:rPr>
          <w:b/>
        </w:rPr>
        <w:t xml:space="preserve"> 9</w:t>
      </w:r>
      <w:r w:rsidRPr="00AC2349">
        <w:rPr>
          <w:b/>
        </w:rPr>
        <w:t xml:space="preserve">: </w:t>
      </w:r>
      <w:r w:rsidR="00F92423" w:rsidRPr="00AC2349">
        <w:rPr>
          <w:b/>
        </w:rPr>
        <w:t xml:space="preserve">For temporal domain Case A, </w:t>
      </w:r>
      <w:r w:rsidR="00BF37BC" w:rsidRPr="00AC2349">
        <w:rPr>
          <w:rFonts w:hint="eastAsia"/>
          <w:b/>
        </w:rPr>
        <w:t>i</w:t>
      </w:r>
      <w:r w:rsidRPr="00AC2349">
        <w:rPr>
          <w:b/>
        </w:rPr>
        <w:t>t is more flexible if the</w:t>
      </w:r>
      <w:r w:rsidR="00F92423" w:rsidRPr="00AC2349">
        <w:rPr>
          <w:b/>
        </w:rPr>
        <w:t xml:space="preserve"> </w:t>
      </w:r>
      <w:r w:rsidRPr="00AC2349">
        <w:rPr>
          <w:b/>
        </w:rPr>
        <w:t>network can control when the UE starts model inference</w:t>
      </w:r>
      <w:r w:rsidR="00F92423" w:rsidRPr="00AC2349">
        <w:rPr>
          <w:b/>
        </w:rPr>
        <w:t>.</w:t>
      </w:r>
    </w:p>
    <w:p w14:paraId="7E1989A5" w14:textId="27DD8C6F" w:rsidR="008B7AE3" w:rsidRPr="00F92423" w:rsidRDefault="008B7AE3" w:rsidP="00F92423">
      <w:pPr>
        <w:ind w:left="1132" w:hangingChars="564" w:hanging="1132"/>
        <w:rPr>
          <w:b/>
        </w:rPr>
      </w:pPr>
      <w:r w:rsidRPr="00F92423">
        <w:rPr>
          <w:b/>
        </w:rPr>
        <w:t>Proposal</w:t>
      </w:r>
      <w:r w:rsidR="000E2162">
        <w:rPr>
          <w:b/>
        </w:rPr>
        <w:t xml:space="preserve"> 11</w:t>
      </w:r>
      <w:r w:rsidRPr="00F92423">
        <w:rPr>
          <w:b/>
        </w:rPr>
        <w:t>: For temporal domain prediction case A, RAN2 to discuss and select one of the following solutions:</w:t>
      </w:r>
    </w:p>
    <w:p w14:paraId="34C28B82" w14:textId="77777777" w:rsidR="008B7AE3" w:rsidRPr="00F92423" w:rsidRDefault="008B7AE3" w:rsidP="00F92423">
      <w:pPr>
        <w:ind w:left="520" w:firstLine="320"/>
        <w:rPr>
          <w:rFonts w:eastAsia="宋体"/>
          <w:b/>
          <w:kern w:val="0"/>
          <w:szCs w:val="20"/>
        </w:rPr>
      </w:pPr>
      <w:r w:rsidRPr="00F92423">
        <w:rPr>
          <w:rFonts w:eastAsia="宋体" w:hint="eastAsia"/>
          <w:b/>
          <w:kern w:val="0"/>
          <w:szCs w:val="20"/>
        </w:rPr>
        <w:t>•</w:t>
      </w:r>
      <w:r w:rsidRPr="00F92423">
        <w:rPr>
          <w:rFonts w:eastAsia="宋体"/>
          <w:b/>
          <w:kern w:val="0"/>
          <w:szCs w:val="20"/>
        </w:rPr>
        <w:tab/>
        <w:t>Solution 1: Model inference is performed upon the reception of the full inference configuration;</w:t>
      </w:r>
    </w:p>
    <w:p w14:paraId="555FF293" w14:textId="266ECAC7" w:rsidR="008B7AE3" w:rsidRPr="00F92423" w:rsidRDefault="008B7AE3" w:rsidP="00F92423">
      <w:pPr>
        <w:spacing w:beforeLines="50" w:before="156"/>
        <w:ind w:left="520" w:firstLine="320"/>
        <w:rPr>
          <w:b/>
        </w:rPr>
      </w:pPr>
      <w:r w:rsidRPr="00F92423">
        <w:rPr>
          <w:rFonts w:eastAsia="宋体" w:hint="eastAsia"/>
          <w:b/>
          <w:kern w:val="0"/>
          <w:szCs w:val="20"/>
        </w:rPr>
        <w:t>•</w:t>
      </w:r>
      <w:r w:rsidRPr="00F92423">
        <w:rPr>
          <w:rFonts w:eastAsia="宋体"/>
          <w:b/>
          <w:kern w:val="0"/>
          <w:szCs w:val="20"/>
        </w:rPr>
        <w:tab/>
        <w:t>Solution 2: Model inference is performed when a pre-configured condition is met (e.g. s-Measure or A3 event).</w:t>
      </w:r>
    </w:p>
    <w:p w14:paraId="00E4F1EC" w14:textId="18BB0867" w:rsidR="008B7AE3" w:rsidRDefault="008B7AE3" w:rsidP="00BB464F">
      <w:pPr>
        <w:spacing w:beforeLines="50" w:before="156"/>
        <w:rPr>
          <w:b/>
        </w:rPr>
      </w:pPr>
    </w:p>
    <w:p w14:paraId="5A3E0B91" w14:textId="367F86E9" w:rsidR="008B7AE3" w:rsidRPr="00A21B47" w:rsidRDefault="006146BC" w:rsidP="00A21B47">
      <w:pPr>
        <w:pStyle w:val="2"/>
      </w:pPr>
      <w:r w:rsidRPr="00A21B47">
        <w:rPr>
          <w:rFonts w:hint="eastAsia"/>
        </w:rPr>
        <w:t>2</w:t>
      </w:r>
      <w:r w:rsidRPr="00A21B47">
        <w:t>.</w:t>
      </w:r>
      <w:r w:rsidR="00A21B47">
        <w:t>3</w:t>
      </w:r>
      <w:r w:rsidRPr="00A21B47">
        <w:t xml:space="preserve"> Inference report</w:t>
      </w:r>
    </w:p>
    <w:p w14:paraId="1B671B4C" w14:textId="4FD7B61E" w:rsidR="00A21B47" w:rsidRDefault="00343AF2" w:rsidP="00BB464F">
      <w:pPr>
        <w:spacing w:beforeLines="50" w:before="156"/>
      </w:pPr>
      <w:r>
        <w:rPr>
          <w:rFonts w:hint="eastAsia"/>
        </w:rPr>
        <w:t>For</w:t>
      </w:r>
      <w:r>
        <w:t xml:space="preserve"> pure RRM </w:t>
      </w:r>
      <w:r w:rsidR="004A0E18">
        <w:t xml:space="preserve">measurement prediction, </w:t>
      </w:r>
      <w:proofErr w:type="spellStart"/>
      <w:r w:rsidR="004A0E18">
        <w:t>i.e</w:t>
      </w:r>
      <w:proofErr w:type="spellEnd"/>
      <w:r w:rsidR="004A0E18">
        <w:t xml:space="preserve">, the prediction results are not used to evaluate whether a measurement event occurs </w:t>
      </w:r>
      <w:r w:rsidR="00061BB5">
        <w:t xml:space="preserve">at a (future) time instance, the network can set the </w:t>
      </w:r>
      <w:proofErr w:type="spellStart"/>
      <w:r w:rsidR="00061BB5" w:rsidRPr="00061BB5">
        <w:rPr>
          <w:i/>
        </w:rPr>
        <w:t>reportType</w:t>
      </w:r>
      <w:proofErr w:type="spellEnd"/>
      <w:r w:rsidR="00061BB5" w:rsidRPr="00061BB5">
        <w:rPr>
          <w:i/>
        </w:rPr>
        <w:t xml:space="preserve"> </w:t>
      </w:r>
      <w:r w:rsidR="00061BB5">
        <w:t xml:space="preserve">to periodical in </w:t>
      </w:r>
      <w:proofErr w:type="spellStart"/>
      <w:r w:rsidR="00061BB5" w:rsidRPr="007677B6">
        <w:rPr>
          <w:i/>
        </w:rPr>
        <w:t>ReportConfigNR</w:t>
      </w:r>
      <w:proofErr w:type="spellEnd"/>
      <w:r w:rsidR="00061BB5">
        <w:t>.</w:t>
      </w:r>
    </w:p>
    <w:p w14:paraId="0A75F005" w14:textId="4993280F" w:rsidR="00A21B47" w:rsidRPr="00A21B47" w:rsidRDefault="00A21B47" w:rsidP="00A21B47">
      <w:pPr>
        <w:ind w:left="1132" w:hangingChars="564" w:hanging="1132"/>
        <w:rPr>
          <w:b/>
        </w:rPr>
      </w:pPr>
      <w:r w:rsidRPr="00A21B47">
        <w:rPr>
          <w:b/>
        </w:rPr>
        <w:t>Observation</w:t>
      </w:r>
      <w:r w:rsidR="000E2162">
        <w:rPr>
          <w:b/>
        </w:rPr>
        <w:t xml:space="preserve"> 10</w:t>
      </w:r>
      <w:r w:rsidRPr="00A21B47">
        <w:rPr>
          <w:b/>
        </w:rPr>
        <w:t xml:space="preserve">: </w:t>
      </w:r>
      <w:r>
        <w:rPr>
          <w:b/>
        </w:rPr>
        <w:t xml:space="preserve">For pure RRM measurement prediction, the network can set the </w:t>
      </w:r>
      <w:proofErr w:type="spellStart"/>
      <w:r w:rsidRPr="00A21B47">
        <w:rPr>
          <w:b/>
          <w:i/>
        </w:rPr>
        <w:t>reportType</w:t>
      </w:r>
      <w:proofErr w:type="spellEnd"/>
      <w:r>
        <w:rPr>
          <w:b/>
        </w:rPr>
        <w:t xml:space="preserve"> to </w:t>
      </w:r>
      <w:r w:rsidRPr="00A21B47">
        <w:rPr>
          <w:b/>
          <w:i/>
        </w:rPr>
        <w:t>periodical</w:t>
      </w:r>
      <w:r>
        <w:rPr>
          <w:b/>
        </w:rPr>
        <w:t xml:space="preserve"> in </w:t>
      </w:r>
      <w:proofErr w:type="spellStart"/>
      <w:r w:rsidRPr="00A21B47">
        <w:rPr>
          <w:b/>
          <w:i/>
        </w:rPr>
        <w:t>ReportConfigNR</w:t>
      </w:r>
      <w:proofErr w:type="spellEnd"/>
      <w:r w:rsidRPr="00A21B47">
        <w:rPr>
          <w:b/>
        </w:rPr>
        <w:t>.</w:t>
      </w:r>
    </w:p>
    <w:p w14:paraId="7930EA3A" w14:textId="6D2F3188" w:rsidR="00123491" w:rsidRDefault="007677B6" w:rsidP="00BB464F">
      <w:pPr>
        <w:spacing w:beforeLines="50" w:before="156"/>
      </w:pPr>
      <w:r w:rsidRPr="007677B6">
        <w:t xml:space="preserve">In the existing RRM measurement framework, the network can control when and what to report via </w:t>
      </w:r>
      <w:proofErr w:type="spellStart"/>
      <w:r w:rsidRPr="007677B6">
        <w:rPr>
          <w:i/>
        </w:rPr>
        <w:t>reportConfigNR</w:t>
      </w:r>
      <w:proofErr w:type="spellEnd"/>
      <w:r w:rsidRPr="007677B6">
        <w:t xml:space="preserve">, e.g. reporting </w:t>
      </w:r>
      <w:r w:rsidR="00D97344">
        <w:t>periodicity</w:t>
      </w:r>
      <w:r w:rsidRPr="007677B6">
        <w:t xml:space="preserve"> (</w:t>
      </w:r>
      <w:proofErr w:type="spellStart"/>
      <w:r w:rsidRPr="00D97344">
        <w:rPr>
          <w:i/>
        </w:rPr>
        <w:t>repor</w:t>
      </w:r>
      <w:r w:rsidR="00D97344" w:rsidRPr="00D97344">
        <w:rPr>
          <w:i/>
        </w:rPr>
        <w:t>tInterval</w:t>
      </w:r>
      <w:proofErr w:type="spellEnd"/>
      <w:r w:rsidRPr="007677B6">
        <w:t xml:space="preserve">), </w:t>
      </w:r>
      <w:r w:rsidR="00123491">
        <w:t>the number of measurement report (</w:t>
      </w:r>
      <w:proofErr w:type="spellStart"/>
      <w:r w:rsidR="00123491" w:rsidRPr="00123491">
        <w:rPr>
          <w:i/>
        </w:rPr>
        <w:t>reportAmount</w:t>
      </w:r>
      <w:proofErr w:type="spellEnd"/>
      <w:r w:rsidR="00123491">
        <w:t xml:space="preserve">), </w:t>
      </w:r>
      <w:r w:rsidR="00123491" w:rsidRPr="007677B6">
        <w:t>the max number of non-serving cells to include in the measurement report (</w:t>
      </w:r>
      <w:proofErr w:type="spellStart"/>
      <w:r w:rsidR="00123491" w:rsidRPr="00123491">
        <w:rPr>
          <w:i/>
        </w:rPr>
        <w:t>maxReportCells</w:t>
      </w:r>
      <w:proofErr w:type="spellEnd"/>
      <w:r w:rsidR="00123491" w:rsidRPr="007677B6">
        <w:t>)</w:t>
      </w:r>
      <w:r w:rsidR="00123491">
        <w:t xml:space="preserve">, </w:t>
      </w:r>
      <w:r w:rsidR="00123491" w:rsidRPr="007677B6">
        <w:t>the max number of beam results per cell to include in the measurement report (</w:t>
      </w:r>
      <w:proofErr w:type="spellStart"/>
      <w:r w:rsidR="00123491" w:rsidRPr="008B01CB">
        <w:rPr>
          <w:i/>
        </w:rPr>
        <w:t>reportQuantityRS</w:t>
      </w:r>
      <w:proofErr w:type="spellEnd"/>
      <w:r w:rsidR="00123491" w:rsidRPr="008B01CB">
        <w:rPr>
          <w:i/>
        </w:rPr>
        <w:t>-indexes</w:t>
      </w:r>
      <w:r w:rsidR="00123491" w:rsidRPr="007677B6">
        <w:t>) and so on.</w:t>
      </w:r>
      <w:r w:rsidR="00123491">
        <w:t xml:space="preserve"> </w:t>
      </w:r>
      <w:r w:rsidR="00123491" w:rsidRPr="007677B6">
        <w:t>Upon receiving these configurations, the UE reports the corresponding measurement results to the network</w:t>
      </w:r>
      <w:r w:rsidR="008B01CB">
        <w:t xml:space="preserve"> via </w:t>
      </w:r>
      <w:proofErr w:type="spellStart"/>
      <w:r w:rsidR="008B01CB" w:rsidRPr="008B01CB">
        <w:rPr>
          <w:i/>
        </w:rPr>
        <w:t>MeasurementReport</w:t>
      </w:r>
      <w:proofErr w:type="spellEnd"/>
      <w:r w:rsidR="008B01CB">
        <w:t xml:space="preserve"> message</w:t>
      </w:r>
      <w:r w:rsidR="00123491" w:rsidRPr="007677B6">
        <w:t>.</w:t>
      </w:r>
      <w:r w:rsidR="00123491">
        <w:t xml:space="preserve"> </w:t>
      </w:r>
      <w:r w:rsidR="0020721C">
        <w:t xml:space="preserve">AI-mobility can follow the same way, i.e. the UE </w:t>
      </w:r>
      <w:r w:rsidR="0008647A" w:rsidRPr="0008647A">
        <w:t>follows</w:t>
      </w:r>
      <w:r w:rsidR="00263FF0">
        <w:t xml:space="preserve"> </w:t>
      </w:r>
      <w:r w:rsidR="0008647A" w:rsidRPr="0008647A">
        <w:t xml:space="preserve">the configuration in </w:t>
      </w:r>
      <w:proofErr w:type="spellStart"/>
      <w:r w:rsidR="0008647A" w:rsidRPr="0008647A">
        <w:rPr>
          <w:i/>
        </w:rPr>
        <w:t>reportConfigNR</w:t>
      </w:r>
      <w:proofErr w:type="spellEnd"/>
      <w:r w:rsidR="0008647A" w:rsidRPr="0008647A">
        <w:t xml:space="preserve"> for inference results reporting</w:t>
      </w:r>
      <w:r w:rsidR="00263FF0">
        <w:t xml:space="preserve">, and report inference results via </w:t>
      </w:r>
      <w:proofErr w:type="spellStart"/>
      <w:r w:rsidR="00263FF0" w:rsidRPr="00263FF0">
        <w:rPr>
          <w:i/>
        </w:rPr>
        <w:lastRenderedPageBreak/>
        <w:t>MeasurementReport</w:t>
      </w:r>
      <w:proofErr w:type="spellEnd"/>
      <w:r w:rsidR="00263FF0">
        <w:rPr>
          <w:rFonts w:hint="eastAsia"/>
        </w:rPr>
        <w:t xml:space="preserve"> </w:t>
      </w:r>
      <w:r w:rsidR="00263FF0">
        <w:t>message</w:t>
      </w:r>
      <w:r w:rsidR="006D43DB">
        <w:t>.</w:t>
      </w:r>
    </w:p>
    <w:p w14:paraId="51448CDE" w14:textId="20A2AE42" w:rsidR="00A21B47" w:rsidRDefault="00A21B47" w:rsidP="00A21B47">
      <w:pPr>
        <w:ind w:left="1132" w:hangingChars="564" w:hanging="1132"/>
        <w:rPr>
          <w:b/>
        </w:rPr>
      </w:pPr>
      <w:r>
        <w:rPr>
          <w:b/>
        </w:rPr>
        <w:t xml:space="preserve">Proposal </w:t>
      </w:r>
      <w:r w:rsidR="000E2162">
        <w:rPr>
          <w:b/>
        </w:rPr>
        <w:t>12</w:t>
      </w:r>
      <w:r>
        <w:rPr>
          <w:b/>
        </w:rPr>
        <w:tab/>
      </w:r>
      <w:r w:rsidR="00394E6C">
        <w:rPr>
          <w:b/>
        </w:rPr>
        <w:t xml:space="preserve">For AI-Mobility, to reuse </w:t>
      </w:r>
      <w:proofErr w:type="spellStart"/>
      <w:r w:rsidR="00394E6C" w:rsidRPr="00394E6C">
        <w:rPr>
          <w:b/>
          <w:i/>
        </w:rPr>
        <w:t>MeasurementReport</w:t>
      </w:r>
      <w:proofErr w:type="spellEnd"/>
      <w:r w:rsidR="00394E6C">
        <w:rPr>
          <w:b/>
        </w:rPr>
        <w:t xml:space="preserve"> message for inference results reporting. and t</w:t>
      </w:r>
      <w:r>
        <w:rPr>
          <w:b/>
        </w:rPr>
        <w:t xml:space="preserve">he UE </w:t>
      </w:r>
      <w:r w:rsidR="00394E6C">
        <w:rPr>
          <w:b/>
        </w:rPr>
        <w:t xml:space="preserve">follows the configuration in </w:t>
      </w:r>
      <w:proofErr w:type="spellStart"/>
      <w:r w:rsidR="00394E6C" w:rsidRPr="00394E6C">
        <w:rPr>
          <w:b/>
          <w:i/>
        </w:rPr>
        <w:t>reportConfigNR</w:t>
      </w:r>
      <w:proofErr w:type="spellEnd"/>
      <w:r w:rsidR="00394E6C">
        <w:rPr>
          <w:b/>
        </w:rPr>
        <w:t xml:space="preserve"> for inference results reporting (e.g. </w:t>
      </w:r>
      <w:proofErr w:type="spellStart"/>
      <w:r w:rsidR="00394E6C" w:rsidRPr="00394E6C">
        <w:rPr>
          <w:b/>
          <w:i/>
        </w:rPr>
        <w:t>reportInterval</w:t>
      </w:r>
      <w:proofErr w:type="spellEnd"/>
      <w:r w:rsidR="00394E6C">
        <w:rPr>
          <w:b/>
        </w:rPr>
        <w:t xml:space="preserve">, </w:t>
      </w:r>
      <w:proofErr w:type="spellStart"/>
      <w:r w:rsidR="00394E6C" w:rsidRPr="00394E6C">
        <w:rPr>
          <w:b/>
          <w:i/>
        </w:rPr>
        <w:t>reportAmount</w:t>
      </w:r>
      <w:proofErr w:type="spellEnd"/>
      <w:r w:rsidR="00394E6C">
        <w:rPr>
          <w:b/>
        </w:rPr>
        <w:t xml:space="preserve">, </w:t>
      </w:r>
      <w:proofErr w:type="spellStart"/>
      <w:r w:rsidR="00394E6C" w:rsidRPr="00394E6C">
        <w:rPr>
          <w:b/>
          <w:i/>
        </w:rPr>
        <w:t>maxReportCells</w:t>
      </w:r>
      <w:proofErr w:type="spellEnd"/>
      <w:r w:rsidR="00394E6C">
        <w:rPr>
          <w:b/>
        </w:rPr>
        <w:t xml:space="preserve">, </w:t>
      </w:r>
      <w:proofErr w:type="spellStart"/>
      <w:r w:rsidR="00394E6C" w:rsidRPr="00283B44">
        <w:rPr>
          <w:b/>
          <w:i/>
        </w:rPr>
        <w:t>reportQuantityRS</w:t>
      </w:r>
      <w:proofErr w:type="spellEnd"/>
      <w:r w:rsidR="00394E6C" w:rsidRPr="00283B44">
        <w:rPr>
          <w:b/>
          <w:i/>
        </w:rPr>
        <w:t>-Indexes</w:t>
      </w:r>
      <w:r w:rsidR="00394E6C">
        <w:rPr>
          <w:b/>
          <w:i/>
        </w:rPr>
        <w:t xml:space="preserve">, </w:t>
      </w:r>
      <w:proofErr w:type="spellStart"/>
      <w:r w:rsidR="00394E6C">
        <w:rPr>
          <w:b/>
          <w:i/>
        </w:rPr>
        <w:t>etc</w:t>
      </w:r>
      <w:proofErr w:type="spellEnd"/>
      <w:r w:rsidR="00394E6C">
        <w:rPr>
          <w:b/>
        </w:rPr>
        <w:t>)</w:t>
      </w:r>
      <w:r>
        <w:rPr>
          <w:b/>
        </w:rPr>
        <w:t>.</w:t>
      </w:r>
    </w:p>
    <w:p w14:paraId="25E8C73B" w14:textId="5E061B58" w:rsidR="003D4853" w:rsidRDefault="003D4853" w:rsidP="00BB464F">
      <w:pPr>
        <w:spacing w:beforeLines="50" w:before="156"/>
      </w:pPr>
      <w:r w:rsidRPr="003D4853">
        <w:t>For temporal domain prediction case B, depending on the time instance that measurement report is initiated, the type of available measurement results (e.g. historical measurement results from prediction, measurement results of future time instance) are different.</w:t>
      </w:r>
      <w:r>
        <w:t xml:space="preserve"> </w:t>
      </w:r>
      <w:r w:rsidRPr="003D4853">
        <w:t>For example, if the measurement report is initiated at t1, the latest historical measurement result is from prediction, and there is no future measurement result; if the measurement report is initiated at t3, the latest historical measurement is from actual measurement and the future measurement results are available.</w:t>
      </w:r>
    </w:p>
    <w:p w14:paraId="78D90EA4" w14:textId="77777777" w:rsidR="003D4853" w:rsidRDefault="003D4853" w:rsidP="003D4853">
      <w:pPr>
        <w:jc w:val="center"/>
      </w:pPr>
      <w:r>
        <w:object w:dxaOrig="5257" w:dyaOrig="3289" w14:anchorId="423EA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16.25pt" o:ole="">
            <v:imagedata r:id="rId8" o:title=""/>
          </v:shape>
          <o:OLEObject Type="Embed" ProgID="Visio.Drawing.15" ShapeID="_x0000_i1025" DrawAspect="Content" ObjectID="_1816783214" r:id="rId9"/>
        </w:object>
      </w:r>
    </w:p>
    <w:p w14:paraId="3A13B312" w14:textId="77777777" w:rsidR="003D4853" w:rsidRDefault="003D4853" w:rsidP="003D4853">
      <w:pPr>
        <w:jc w:val="center"/>
      </w:pPr>
      <w:r>
        <w:rPr>
          <w:rFonts w:hint="eastAsia"/>
        </w:rPr>
        <w:t>F</w:t>
      </w:r>
      <w:r>
        <w:t>igur</w:t>
      </w:r>
      <w:r>
        <w:rPr>
          <w:rFonts w:hint="eastAsia"/>
        </w:rPr>
        <w:t>e</w:t>
      </w:r>
      <w:r>
        <w:t>: An example for temporal domain case B</w:t>
      </w:r>
    </w:p>
    <w:p w14:paraId="6C4715F7" w14:textId="44CE2A09" w:rsidR="002D4E87" w:rsidRPr="00E07166" w:rsidRDefault="003D4853" w:rsidP="00BB464F">
      <w:pPr>
        <w:spacing w:beforeLines="50" w:before="156"/>
      </w:pPr>
      <w:r w:rsidRPr="003D4853">
        <w:t>Regarding the content of the measurement report, the simplest way is to always report the latest historical measurement results, regardless that the latest historical measurement result is from prediction or actual measurement.</w:t>
      </w:r>
      <w:r w:rsidR="00221DFC">
        <w:t xml:space="preserve"> </w:t>
      </w:r>
    </w:p>
    <w:p w14:paraId="00867512" w14:textId="16FBABF3" w:rsidR="00394E6C" w:rsidRDefault="00394E6C" w:rsidP="00394E6C">
      <w:pPr>
        <w:ind w:left="1132" w:hangingChars="564" w:hanging="1132"/>
        <w:rPr>
          <w:b/>
        </w:rPr>
      </w:pPr>
      <w:r>
        <w:rPr>
          <w:b/>
        </w:rPr>
        <w:t xml:space="preserve">Proposal </w:t>
      </w:r>
      <w:r w:rsidR="000E2162">
        <w:rPr>
          <w:b/>
        </w:rPr>
        <w:t>13</w:t>
      </w:r>
      <w:r>
        <w:rPr>
          <w:b/>
        </w:rPr>
        <w:tab/>
        <w:t xml:space="preserve">For temporal domain Case B, the inference report includes the latest measurement results (regardless of actual </w:t>
      </w:r>
      <w:r w:rsidR="00575909">
        <w:rPr>
          <w:b/>
        </w:rPr>
        <w:t>results</w:t>
      </w:r>
      <w:r>
        <w:rPr>
          <w:b/>
        </w:rPr>
        <w:t xml:space="preserve"> or predicted results).</w:t>
      </w:r>
    </w:p>
    <w:p w14:paraId="3AE09AFE" w14:textId="7B06B4BE" w:rsidR="007B48D3" w:rsidRPr="007B48D3" w:rsidRDefault="007B48D3" w:rsidP="00BB464F">
      <w:pPr>
        <w:spacing w:beforeLines="50" w:before="156"/>
      </w:pPr>
      <w:r w:rsidRPr="007B48D3">
        <w:t xml:space="preserve">The motivation of the temporal domain prediction case A is to improve handover performance, it is helpful if the network can know the measurement results of future time instances, which makes it possible for the network to take measures in advance for the upcoming channel quality change (i.e. in proactive way). Specifically, </w:t>
      </w:r>
      <w:bookmarkStart w:id="5" w:name="_GoBack"/>
      <w:bookmarkEnd w:id="5"/>
      <w:r w:rsidRPr="007B48D3">
        <w:t>we can report the prediction results in the prediction window, similar to AI-</w:t>
      </w:r>
      <w:proofErr w:type="spellStart"/>
      <w:r w:rsidRPr="007B48D3">
        <w:t>phy</w:t>
      </w:r>
      <w:proofErr w:type="spellEnd"/>
      <w:r w:rsidRPr="007B48D3">
        <w:t xml:space="preserve"> beam management. Besides, we think the latest actual measurement result is also helpful, since: (1) as a network vender, before </w:t>
      </w:r>
      <w:r w:rsidR="007F4811" w:rsidRPr="007B48D3">
        <w:t>deciding</w:t>
      </w:r>
      <w:r w:rsidRPr="007B48D3">
        <w:t xml:space="preserve"> to move the UE to another cell, it is helpful that the network can know the actual measurement results. (2) considering the baseline prediction quantity is RSRP, the UE may be unable to predict future RSRQ/SINR value. With latest historical measurement result in the measurement report, the network can know the channel interference information.</w:t>
      </w:r>
    </w:p>
    <w:p w14:paraId="4E33A30D" w14:textId="0B44E74A" w:rsidR="00575909" w:rsidRDefault="00575909" w:rsidP="00575909">
      <w:pPr>
        <w:ind w:left="1132" w:hangingChars="564" w:hanging="1132"/>
        <w:rPr>
          <w:b/>
        </w:rPr>
      </w:pPr>
      <w:r>
        <w:rPr>
          <w:b/>
        </w:rPr>
        <w:t xml:space="preserve">Proposal </w:t>
      </w:r>
      <w:r w:rsidR="000E2162">
        <w:rPr>
          <w:b/>
        </w:rPr>
        <w:t>14</w:t>
      </w:r>
      <w:r>
        <w:rPr>
          <w:b/>
        </w:rPr>
        <w:tab/>
        <w:t>For temporal domain Case A, the inference report includes the latest actual measurement results and multiple predicted results within the PW.</w:t>
      </w:r>
    </w:p>
    <w:p w14:paraId="05209653" w14:textId="5BD67617" w:rsidR="00575909" w:rsidRPr="007B48D3" w:rsidRDefault="007B48D3" w:rsidP="00BB464F">
      <w:pPr>
        <w:spacing w:beforeLines="50" w:before="156"/>
      </w:pPr>
      <w:r w:rsidRPr="007B48D3">
        <w:t xml:space="preserve">For frequency domain prediction, </w:t>
      </w:r>
      <w:r w:rsidR="00AE5A4C">
        <w:t xml:space="preserve">the output is </w:t>
      </w:r>
      <w:r w:rsidR="00AE5A4C" w:rsidRPr="00AE5A4C">
        <w:t>measurement results at the frequency to be predicted for every time instance</w:t>
      </w:r>
      <w:r w:rsidR="00AE5A4C">
        <w:t xml:space="preserve">. </w:t>
      </w:r>
      <w:r w:rsidR="00DB4046">
        <w:t>The UE reports the latest measurement results to the network, no enhancement is needed in the existing measurement report.</w:t>
      </w:r>
    </w:p>
    <w:p w14:paraId="3921C7A0" w14:textId="3CBE9284" w:rsidR="00523533" w:rsidRDefault="00523533" w:rsidP="00523533">
      <w:pPr>
        <w:ind w:left="1132" w:hangingChars="564" w:hanging="1132"/>
        <w:rPr>
          <w:b/>
        </w:rPr>
      </w:pPr>
      <w:r>
        <w:rPr>
          <w:b/>
        </w:rPr>
        <w:t xml:space="preserve">Proposal </w:t>
      </w:r>
      <w:r w:rsidR="000E2162">
        <w:rPr>
          <w:b/>
        </w:rPr>
        <w:t>15</w:t>
      </w:r>
      <w:r>
        <w:rPr>
          <w:b/>
        </w:rPr>
        <w:tab/>
        <w:t xml:space="preserve">For frequency domain prediction, the inference report includes the </w:t>
      </w:r>
      <w:r w:rsidRPr="00DB4046">
        <w:rPr>
          <w:b/>
        </w:rPr>
        <w:t>latest measurement results</w:t>
      </w:r>
      <w:r>
        <w:rPr>
          <w:b/>
        </w:rPr>
        <w:t xml:space="preserve"> of the predicted cell. (No change to the existing measurement report)</w:t>
      </w:r>
    </w:p>
    <w:p w14:paraId="2E312439" w14:textId="524D2A04" w:rsidR="00E07166" w:rsidRPr="003C1B7B" w:rsidRDefault="00E07166" w:rsidP="00E07166">
      <w:pPr>
        <w:spacing w:beforeLines="50" w:before="156"/>
      </w:pPr>
      <w:r>
        <w:t xml:space="preserve">Besides, we think there is no need to differentiate actual measurement results and predicted results, since both of them are latest results. For frequency domain prediction, since the UE does not perform actual measurement on the predicted frequency, the network can know the received measurement results are from prediction. For </w:t>
      </w:r>
      <w:r w:rsidR="00D92D7E">
        <w:t>temporal domain case A, since the UE report</w:t>
      </w:r>
      <w:r w:rsidR="008F4BE8">
        <w:t>s</w:t>
      </w:r>
      <w:r w:rsidR="00D92D7E">
        <w:t xml:space="preserve"> both prediction results and latest actual results, the network shall know which result is from actual </w:t>
      </w:r>
      <w:r w:rsidR="00D92D7E">
        <w:lastRenderedPageBreak/>
        <w:t>measurement and which results are from prediction.</w:t>
      </w:r>
    </w:p>
    <w:p w14:paraId="2E4763B8" w14:textId="77777777" w:rsidR="00E07166" w:rsidRPr="00A21B47" w:rsidRDefault="00E07166" w:rsidP="00E07166">
      <w:pPr>
        <w:ind w:left="1132" w:hangingChars="564" w:hanging="1132"/>
        <w:rPr>
          <w:b/>
        </w:rPr>
      </w:pPr>
      <w:r w:rsidRPr="003C1B7B">
        <w:rPr>
          <w:b/>
        </w:rPr>
        <w:t>Observation 11: For temporal domain Case B, there is no need to differentiate actual measurement results and predicted measurement results; But for temporal domain Case A and frequency domain prediction, the network should be aware whether the reported results are actual results or predicted results.</w:t>
      </w:r>
    </w:p>
    <w:p w14:paraId="67AB7E86" w14:textId="7D6A1853" w:rsidR="00523533" w:rsidRPr="00E07166" w:rsidRDefault="00523533" w:rsidP="00BB464F">
      <w:pPr>
        <w:spacing w:beforeLines="50" w:before="156"/>
        <w:rPr>
          <w:b/>
        </w:rPr>
      </w:pPr>
    </w:p>
    <w:p w14:paraId="22CDF10B" w14:textId="32182618" w:rsidR="00B40933" w:rsidRPr="00AA15C5" w:rsidRDefault="004F1824" w:rsidP="00AA15C5">
      <w:pPr>
        <w:pStyle w:val="2"/>
      </w:pPr>
      <w:r w:rsidRPr="00AA15C5">
        <w:rPr>
          <w:rFonts w:hint="eastAsia"/>
        </w:rPr>
        <w:t>2</w:t>
      </w:r>
      <w:r w:rsidRPr="00AA15C5">
        <w:t>.</w:t>
      </w:r>
      <w:r w:rsidR="00F80FB0" w:rsidRPr="00AA15C5">
        <w:t>4</w:t>
      </w:r>
      <w:r w:rsidRPr="00AA15C5">
        <w:t xml:space="preserve"> Performance monitoring</w:t>
      </w:r>
    </w:p>
    <w:p w14:paraId="0DF269A0" w14:textId="3AFF03CD" w:rsidR="00672523" w:rsidRDefault="00F80FB0" w:rsidP="004967E9">
      <w:pPr>
        <w:spacing w:beforeLines="50" w:before="156"/>
      </w:pPr>
      <w:r w:rsidRPr="00F80FB0">
        <w:t>In the last meeting, we have agreed that RSRP differences can be used as the performance metric for monitoring</w:t>
      </w:r>
      <w:r w:rsidR="00672523">
        <w:t>, as follows:</w:t>
      </w:r>
    </w:p>
    <w:tbl>
      <w:tblPr>
        <w:tblStyle w:val="aff0"/>
        <w:tblW w:w="0" w:type="auto"/>
        <w:tblLook w:val="04A0" w:firstRow="1" w:lastRow="0" w:firstColumn="1" w:lastColumn="0" w:noHBand="0" w:noVBand="1"/>
      </w:tblPr>
      <w:tblGrid>
        <w:gridCol w:w="9771"/>
      </w:tblGrid>
      <w:tr w:rsidR="00672523" w14:paraId="3DF618F8" w14:textId="77777777" w:rsidTr="00672523">
        <w:tc>
          <w:tcPr>
            <w:tcW w:w="9771" w:type="dxa"/>
          </w:tcPr>
          <w:p w14:paraId="217CE758" w14:textId="77777777" w:rsidR="0085327B" w:rsidRPr="00672523" w:rsidRDefault="00D104D1" w:rsidP="00672523">
            <w:pPr>
              <w:numPr>
                <w:ilvl w:val="0"/>
                <w:numId w:val="31"/>
              </w:numPr>
              <w:spacing w:beforeLines="50" w:before="156"/>
            </w:pPr>
            <w:r w:rsidRPr="00672523">
              <w:rPr>
                <w:lang w:val="en-GB"/>
              </w:rPr>
              <w:t xml:space="preserve">For RRM measurement prediction </w:t>
            </w:r>
          </w:p>
          <w:p w14:paraId="4686D715" w14:textId="2B9A136C" w:rsidR="00672523" w:rsidRDefault="00D104D1" w:rsidP="004967E9">
            <w:pPr>
              <w:numPr>
                <w:ilvl w:val="1"/>
                <w:numId w:val="31"/>
              </w:numPr>
              <w:spacing w:beforeLines="50" w:before="156"/>
            </w:pPr>
            <w:r w:rsidRPr="00672523">
              <w:rPr>
                <w:lang w:val="en-GB"/>
              </w:rPr>
              <w:t>RSRP differences can be used as the performance metric for monitoring.</w:t>
            </w:r>
          </w:p>
        </w:tc>
      </w:tr>
    </w:tbl>
    <w:p w14:paraId="6441AC3B" w14:textId="5FE3DA52" w:rsidR="00672523" w:rsidRDefault="00672523" w:rsidP="004967E9">
      <w:pPr>
        <w:spacing w:beforeLines="50" w:before="156"/>
      </w:pPr>
      <w:r>
        <w:rPr>
          <w:rFonts w:hint="eastAsia"/>
        </w:rPr>
        <w:t>I</w:t>
      </w:r>
      <w:r>
        <w:t>t is still unclear how to calculate it. In this part, we’d like to share our view on it.</w:t>
      </w:r>
    </w:p>
    <w:p w14:paraId="5FDD0C37" w14:textId="77777777" w:rsidR="00F80FB0" w:rsidRDefault="00F80FB0" w:rsidP="00F80FB0">
      <w:r>
        <w:rPr>
          <w:rFonts w:hint="eastAsia"/>
        </w:rPr>
        <w:t>I</w:t>
      </w:r>
      <w:r>
        <w:t>n the AI-</w:t>
      </w:r>
      <w:proofErr w:type="spellStart"/>
      <w:r>
        <w:t>phy</w:t>
      </w:r>
      <w:proofErr w:type="spellEnd"/>
      <w:r>
        <w:t xml:space="preserve"> beam management BM-Case 2, RAN1 has reached the following agreements:</w:t>
      </w:r>
    </w:p>
    <w:tbl>
      <w:tblPr>
        <w:tblStyle w:val="aff0"/>
        <w:tblW w:w="0" w:type="auto"/>
        <w:tblLook w:val="04A0" w:firstRow="1" w:lastRow="0" w:firstColumn="1" w:lastColumn="0" w:noHBand="0" w:noVBand="1"/>
      </w:tblPr>
      <w:tblGrid>
        <w:gridCol w:w="9771"/>
      </w:tblGrid>
      <w:tr w:rsidR="00F80FB0" w14:paraId="3C137453" w14:textId="77777777" w:rsidTr="000135B1">
        <w:tc>
          <w:tcPr>
            <w:tcW w:w="9771" w:type="dxa"/>
          </w:tcPr>
          <w:p w14:paraId="3E2A7C10" w14:textId="77777777" w:rsidR="00F80FB0" w:rsidRPr="00F86CA9" w:rsidRDefault="00F80FB0" w:rsidP="000135B1">
            <w:pPr>
              <w:widowControl/>
              <w:snapToGrid w:val="0"/>
              <w:spacing w:beforeLines="30" w:before="93" w:afterLines="30" w:after="93" w:line="288" w:lineRule="auto"/>
              <w:textAlignment w:val="center"/>
              <w:rPr>
                <w:rFonts w:eastAsia="Batang"/>
                <w:kern w:val="0"/>
                <w:szCs w:val="20"/>
                <w:lang w:val="en-GB"/>
              </w:rPr>
            </w:pPr>
            <w:r w:rsidRPr="00886CF9">
              <w:rPr>
                <w:rFonts w:eastAsia="Batang"/>
                <w:kern w:val="0"/>
                <w:szCs w:val="20"/>
                <w:lang w:val="en-GB"/>
              </w:rPr>
              <w:t xml:space="preserve">For BM-Case 2, at </w:t>
            </w:r>
            <w:r w:rsidRPr="00F86CA9">
              <w:rPr>
                <w:rFonts w:eastAsia="Batang"/>
                <w:kern w:val="0"/>
                <w:szCs w:val="20"/>
                <w:lang w:val="en-GB"/>
              </w:rPr>
              <w:t xml:space="preserve">least support to report one </w:t>
            </w:r>
            <w:r w:rsidRPr="00F86CA9">
              <w:rPr>
                <w:rFonts w:eastAsia="宋体"/>
                <w:bCs/>
                <w:kern w:val="0"/>
                <w:szCs w:val="20"/>
                <w:lang w:val="en-GB"/>
              </w:rPr>
              <w:t>beam prediction accuracy</w:t>
            </w:r>
            <w:r w:rsidRPr="00F86CA9">
              <w:rPr>
                <w:rFonts w:eastAsia="Batang"/>
                <w:kern w:val="0"/>
                <w:szCs w:val="20"/>
                <w:lang w:val="en-GB"/>
              </w:rPr>
              <w:t xml:space="preserve"> for one configured time instance, configured by one </w:t>
            </w:r>
            <w:r w:rsidRPr="00F86CA9">
              <w:rPr>
                <w:rFonts w:eastAsia="Times New Roman"/>
                <w:i/>
                <w:iCs/>
                <w:kern w:val="0"/>
                <w:szCs w:val="20"/>
                <w:lang w:val="en-GB"/>
              </w:rPr>
              <w:t>CSI-</w:t>
            </w:r>
            <w:proofErr w:type="spellStart"/>
            <w:r w:rsidRPr="00F86CA9">
              <w:rPr>
                <w:rFonts w:eastAsia="Times New Roman"/>
                <w:i/>
                <w:iCs/>
                <w:kern w:val="0"/>
                <w:szCs w:val="20"/>
                <w:lang w:val="en-GB"/>
              </w:rPr>
              <w:t>ReportConfig</w:t>
            </w:r>
            <w:proofErr w:type="spellEnd"/>
            <w:r w:rsidRPr="00F86CA9">
              <w:rPr>
                <w:rFonts w:eastAsia="Times New Roman"/>
                <w:kern w:val="0"/>
                <w:szCs w:val="20"/>
                <w:lang w:val="en-GB"/>
              </w:rPr>
              <w:t xml:space="preserve"> for </w:t>
            </w:r>
            <w:r w:rsidRPr="00F86CA9">
              <w:rPr>
                <w:rFonts w:eastAsia="Batang"/>
                <w:kern w:val="0"/>
                <w:szCs w:val="20"/>
                <w:lang w:val="en-GB"/>
              </w:rPr>
              <w:t xml:space="preserve">monitoring, </w:t>
            </w:r>
          </w:p>
          <w:p w14:paraId="7EE642BB" w14:textId="77777777" w:rsidR="00F80FB0" w:rsidRPr="00F86CA9" w:rsidRDefault="00F80FB0" w:rsidP="00F80FB0">
            <w:pPr>
              <w:widowControl/>
              <w:numPr>
                <w:ilvl w:val="0"/>
                <w:numId w:val="21"/>
              </w:numPr>
              <w:overflowPunct w:val="0"/>
              <w:autoSpaceDE w:val="0"/>
              <w:autoSpaceDN w:val="0"/>
              <w:adjustRightInd w:val="0"/>
              <w:snapToGrid w:val="0"/>
              <w:spacing w:beforeLines="30" w:before="93" w:afterLines="30" w:after="93" w:line="288" w:lineRule="auto"/>
              <w:textAlignment w:val="center"/>
              <w:rPr>
                <w:rFonts w:eastAsia="Batang"/>
                <w:kern w:val="0"/>
                <w:szCs w:val="20"/>
                <w:lang w:val="en-GB"/>
              </w:rPr>
            </w:pPr>
            <w:r w:rsidRPr="00F86CA9">
              <w:rPr>
                <w:rFonts w:eastAsia="Batang"/>
                <w:kern w:val="0"/>
                <w:szCs w:val="20"/>
                <w:lang w:val="en-GB"/>
              </w:rPr>
              <w:t xml:space="preserve">only one resource set is configured in the </w:t>
            </w:r>
            <w:r w:rsidRPr="00F86CA9">
              <w:rPr>
                <w:rFonts w:eastAsia="Times New Roman"/>
                <w:i/>
                <w:iCs/>
                <w:kern w:val="0"/>
                <w:szCs w:val="20"/>
                <w:lang w:val="en-GB"/>
              </w:rPr>
              <w:t>CSI-</w:t>
            </w:r>
            <w:proofErr w:type="spellStart"/>
            <w:r w:rsidRPr="00F86CA9">
              <w:rPr>
                <w:rFonts w:eastAsia="Times New Roman"/>
                <w:i/>
                <w:iCs/>
                <w:kern w:val="0"/>
                <w:szCs w:val="20"/>
                <w:lang w:val="en-GB"/>
              </w:rPr>
              <w:t>ReportConfig</w:t>
            </w:r>
            <w:proofErr w:type="spellEnd"/>
          </w:p>
          <w:p w14:paraId="629B06BA" w14:textId="77777777" w:rsidR="00F80FB0" w:rsidRPr="00F86CA9" w:rsidRDefault="00F80FB0" w:rsidP="00F80FB0">
            <w:pPr>
              <w:widowControl/>
              <w:numPr>
                <w:ilvl w:val="0"/>
                <w:numId w:val="21"/>
              </w:numPr>
              <w:overflowPunct w:val="0"/>
              <w:autoSpaceDE w:val="0"/>
              <w:autoSpaceDN w:val="0"/>
              <w:adjustRightInd w:val="0"/>
              <w:snapToGrid w:val="0"/>
              <w:spacing w:beforeLines="30" w:before="93" w:afterLines="30" w:after="93" w:line="288" w:lineRule="auto"/>
              <w:textAlignment w:val="center"/>
              <w:rPr>
                <w:rFonts w:eastAsia="Batang"/>
                <w:kern w:val="0"/>
                <w:szCs w:val="20"/>
                <w:lang w:val="en-GB"/>
              </w:rPr>
            </w:pPr>
            <w:r w:rsidRPr="00F86CA9">
              <w:rPr>
                <w:rFonts w:eastAsia="Batang"/>
                <w:kern w:val="0"/>
                <w:szCs w:val="20"/>
                <w:lang w:val="en-GB"/>
              </w:rPr>
              <w:t>the one configured time instance (i.e. f-</w:t>
            </w:r>
            <w:proofErr w:type="spellStart"/>
            <w:r w:rsidRPr="00F86CA9">
              <w:rPr>
                <w:rFonts w:eastAsia="Batang"/>
                <w:kern w:val="0"/>
                <w:szCs w:val="20"/>
                <w:lang w:val="en-GB"/>
              </w:rPr>
              <w:t>th</w:t>
            </w:r>
            <w:proofErr w:type="spellEnd"/>
            <w:r w:rsidRPr="00F86CA9">
              <w:rPr>
                <w:rFonts w:eastAsia="Batang"/>
                <w:kern w:val="0"/>
                <w:szCs w:val="20"/>
                <w:lang w:val="en-GB"/>
              </w:rPr>
              <w:t xml:space="preserve"> time instance of the time instance in one inference report) for metric calculation is configured in the </w:t>
            </w:r>
            <w:r w:rsidRPr="00F86CA9">
              <w:rPr>
                <w:rFonts w:eastAsia="Times New Roman"/>
                <w:i/>
                <w:iCs/>
                <w:kern w:val="0"/>
                <w:szCs w:val="20"/>
                <w:lang w:val="en-GB"/>
              </w:rPr>
              <w:t>CSI-</w:t>
            </w:r>
            <w:proofErr w:type="spellStart"/>
            <w:r w:rsidRPr="00F86CA9">
              <w:rPr>
                <w:rFonts w:eastAsia="Times New Roman"/>
                <w:i/>
                <w:iCs/>
                <w:kern w:val="0"/>
                <w:szCs w:val="20"/>
                <w:lang w:val="en-GB"/>
              </w:rPr>
              <w:t>ReportConfig</w:t>
            </w:r>
            <w:proofErr w:type="spellEnd"/>
            <w:r w:rsidRPr="00F86CA9">
              <w:rPr>
                <w:rFonts w:eastAsia="Times New Roman"/>
                <w:i/>
                <w:iCs/>
                <w:kern w:val="0"/>
                <w:szCs w:val="20"/>
                <w:lang w:val="en-GB"/>
              </w:rPr>
              <w:t xml:space="preserve"> </w:t>
            </w:r>
            <w:r w:rsidRPr="00F86CA9">
              <w:rPr>
                <w:rFonts w:eastAsia="Times New Roman"/>
                <w:kern w:val="0"/>
                <w:szCs w:val="20"/>
                <w:lang w:val="en-GB"/>
              </w:rPr>
              <w:t xml:space="preserve">for monitoring </w:t>
            </w:r>
          </w:p>
          <w:p w14:paraId="705E0514" w14:textId="77777777" w:rsidR="00F80FB0" w:rsidRPr="00F86CA9" w:rsidRDefault="00F80FB0" w:rsidP="00F80FB0">
            <w:pPr>
              <w:widowControl/>
              <w:numPr>
                <w:ilvl w:val="0"/>
                <w:numId w:val="20"/>
              </w:numPr>
              <w:overflowPunct w:val="0"/>
              <w:autoSpaceDE w:val="0"/>
              <w:autoSpaceDN w:val="0"/>
              <w:adjustRightInd w:val="0"/>
              <w:snapToGrid w:val="0"/>
              <w:spacing w:beforeLines="30" w:before="93" w:afterLines="30" w:after="93" w:line="288" w:lineRule="auto"/>
              <w:ind w:left="360"/>
              <w:textAlignment w:val="center"/>
              <w:rPr>
                <w:rFonts w:eastAsia="Batang"/>
                <w:kern w:val="0"/>
                <w:szCs w:val="20"/>
                <w:lang w:val="en-GB"/>
              </w:rPr>
            </w:pPr>
            <w:r w:rsidRPr="00F86CA9">
              <w:rPr>
                <w:rFonts w:eastAsia="Batang"/>
                <w:kern w:val="0"/>
                <w:szCs w:val="20"/>
                <w:lang w:val="en-GB"/>
              </w:rPr>
              <w:t>the performance metric of the f-</w:t>
            </w:r>
            <w:proofErr w:type="spellStart"/>
            <w:r w:rsidRPr="00F86CA9">
              <w:rPr>
                <w:rFonts w:eastAsia="Batang"/>
                <w:kern w:val="0"/>
                <w:szCs w:val="20"/>
                <w:lang w:val="en-GB"/>
              </w:rPr>
              <w:t>th</w:t>
            </w:r>
            <w:proofErr w:type="spellEnd"/>
            <w:r w:rsidRPr="00F86CA9">
              <w:rPr>
                <w:rFonts w:eastAsia="Batang"/>
                <w:kern w:val="0"/>
                <w:szCs w:val="20"/>
                <w:lang w:val="en-GB"/>
              </w:rPr>
              <w:t xml:space="preserve"> time instance is calculated </w:t>
            </w:r>
            <w:r w:rsidRPr="00F86CA9">
              <w:rPr>
                <w:rFonts w:eastAsia="宋体"/>
                <w:bCs/>
                <w:kern w:val="0"/>
                <w:szCs w:val="20"/>
                <w:lang w:val="en-GB"/>
              </w:rPr>
              <w:t xml:space="preserve">based on </w:t>
            </w:r>
            <w:r w:rsidRPr="00F86CA9">
              <w:rPr>
                <w:rFonts w:eastAsia="Batang"/>
                <w:i/>
                <w:iCs/>
                <w:kern w:val="0"/>
                <w:szCs w:val="20"/>
                <w:lang w:val="en-GB"/>
              </w:rPr>
              <w:t xml:space="preserve">N </w:t>
            </w:r>
            <w:r w:rsidRPr="00F86CA9">
              <w:rPr>
                <w:rFonts w:eastAsia="Batang"/>
                <w:kern w:val="0"/>
                <w:szCs w:val="20"/>
                <w:lang w:val="en-GB"/>
              </w:rPr>
              <w:t xml:space="preserve">latest </w:t>
            </w:r>
            <w:r w:rsidRPr="00F86CA9">
              <w:rPr>
                <w:rFonts w:eastAsia="宋体"/>
                <w:kern w:val="0"/>
                <w:szCs w:val="20"/>
                <w:lang w:val="en-GB"/>
              </w:rPr>
              <w:t xml:space="preserve">transmission occasion(s) </w:t>
            </w:r>
            <w:r w:rsidRPr="00F86CA9">
              <w:rPr>
                <w:rFonts w:eastAsia="Batang"/>
                <w:kern w:val="0"/>
                <w:szCs w:val="20"/>
                <w:lang w:val="en-GB"/>
              </w:rPr>
              <w:t>of monitoring resource</w:t>
            </w:r>
            <w:r w:rsidRPr="00F86CA9">
              <w:rPr>
                <w:rFonts w:eastAsia="Times New Roman"/>
                <w:kern w:val="0"/>
                <w:szCs w:val="20"/>
                <w:lang w:val="en-GB"/>
              </w:rPr>
              <w:t>, no later than</w:t>
            </w:r>
            <w:r w:rsidRPr="00F86CA9">
              <w:rPr>
                <w:rFonts w:eastAsia="宋体"/>
                <w:kern w:val="0"/>
                <w:szCs w:val="20"/>
                <w:lang w:val="en-GB"/>
              </w:rPr>
              <w:t xml:space="preserve"> CSI reference resource corresponding to the CSI report for monitoring</w:t>
            </w:r>
          </w:p>
          <w:p w14:paraId="61F5C59A" w14:textId="77777777" w:rsidR="00F80FB0" w:rsidRPr="00F86CA9" w:rsidRDefault="00F80FB0" w:rsidP="00F80FB0">
            <w:pPr>
              <w:widowControl/>
              <w:numPr>
                <w:ilvl w:val="0"/>
                <w:numId w:val="20"/>
              </w:numPr>
              <w:overflowPunct w:val="0"/>
              <w:autoSpaceDE w:val="0"/>
              <w:autoSpaceDN w:val="0"/>
              <w:adjustRightInd w:val="0"/>
              <w:snapToGrid w:val="0"/>
              <w:spacing w:beforeLines="30" w:before="93" w:afterLines="30" w:after="93" w:line="288" w:lineRule="auto"/>
              <w:textAlignment w:val="center"/>
              <w:rPr>
                <w:rFonts w:eastAsia="Times New Roman"/>
                <w:kern w:val="0"/>
                <w:szCs w:val="20"/>
                <w:lang w:val="en-GB"/>
              </w:rPr>
            </w:pPr>
            <w:r w:rsidRPr="00F86CA9">
              <w:rPr>
                <w:rFonts w:eastAsia="Times New Roman"/>
                <w:kern w:val="0"/>
                <w:szCs w:val="20"/>
                <w:lang w:val="en-GB"/>
              </w:rPr>
              <w:t xml:space="preserve">The measurement result of </w:t>
            </w:r>
            <w:r w:rsidRPr="00F86CA9">
              <w:rPr>
                <w:rFonts w:eastAsia="等线"/>
                <w:kern w:val="24"/>
                <w:szCs w:val="20"/>
                <w:lang w:val="en-GB"/>
              </w:rPr>
              <w:t>n</w:t>
            </w:r>
            <w:r w:rsidRPr="00F86CA9">
              <w:rPr>
                <w:rFonts w:eastAsia="等线"/>
                <w:kern w:val="24"/>
                <w:szCs w:val="20"/>
                <w:vertAlign w:val="superscript"/>
                <w:lang w:val="en-GB"/>
              </w:rPr>
              <w:t>th</w:t>
            </w:r>
            <w:r w:rsidRPr="00F86CA9">
              <w:rPr>
                <w:rFonts w:eastAsia="等线"/>
                <w:kern w:val="24"/>
                <w:szCs w:val="20"/>
                <w:lang w:val="en-GB"/>
              </w:rPr>
              <w:t xml:space="preserve"> (n = </w:t>
            </w:r>
            <w:proofErr w:type="gramStart"/>
            <w:r w:rsidRPr="00F86CA9">
              <w:rPr>
                <w:rFonts w:eastAsia="等线"/>
                <w:kern w:val="24"/>
                <w:szCs w:val="20"/>
                <w:lang w:val="en-GB"/>
              </w:rPr>
              <w:t>1,..</w:t>
            </w:r>
            <w:proofErr w:type="gramEnd"/>
            <w:r w:rsidRPr="00F86CA9">
              <w:rPr>
                <w:rFonts w:eastAsia="等线"/>
                <w:kern w:val="24"/>
                <w:szCs w:val="20"/>
                <w:lang w:val="en-GB"/>
              </w:rPr>
              <w:t>,N) latest</w:t>
            </w:r>
            <w:r w:rsidRPr="00F86CA9">
              <w:rPr>
                <w:rFonts w:eastAsia="Times New Roman"/>
                <w:kern w:val="0"/>
                <w:szCs w:val="20"/>
                <w:lang w:val="en-GB"/>
              </w:rPr>
              <w:t xml:space="preserve"> transmission occasion of the CSI-RS/SSB resources for monitoring is linked with the f-</w:t>
            </w:r>
            <w:proofErr w:type="spellStart"/>
            <w:r w:rsidRPr="00F86CA9">
              <w:rPr>
                <w:rFonts w:eastAsia="Times New Roman"/>
                <w:kern w:val="0"/>
                <w:szCs w:val="20"/>
                <w:lang w:val="en-GB"/>
              </w:rPr>
              <w:t>th</w:t>
            </w:r>
            <w:proofErr w:type="spellEnd"/>
            <w:r w:rsidRPr="00F86CA9">
              <w:rPr>
                <w:rFonts w:eastAsia="Times New Roman"/>
                <w:kern w:val="0"/>
                <w:szCs w:val="20"/>
                <w:lang w:val="en-GB"/>
              </w:rPr>
              <w:t xml:space="preserve"> time instance for prediction, where the f-</w:t>
            </w:r>
            <w:proofErr w:type="spellStart"/>
            <w:r w:rsidRPr="00F86CA9">
              <w:rPr>
                <w:rFonts w:eastAsia="Times New Roman"/>
                <w:kern w:val="0"/>
                <w:szCs w:val="20"/>
                <w:lang w:val="en-GB"/>
              </w:rPr>
              <w:t>th</w:t>
            </w:r>
            <w:proofErr w:type="spellEnd"/>
            <w:r w:rsidRPr="00F86CA9">
              <w:rPr>
                <w:rFonts w:eastAsia="Times New Roman"/>
                <w:kern w:val="0"/>
                <w:szCs w:val="20"/>
                <w:lang w:val="en-GB"/>
              </w:rPr>
              <w:t xml:space="preserve"> time instance has the minimal slot offset to the </w:t>
            </w:r>
            <w:r w:rsidRPr="00F86CA9">
              <w:rPr>
                <w:rFonts w:eastAsia="等线"/>
                <w:kern w:val="24"/>
                <w:szCs w:val="20"/>
                <w:lang w:val="en-GB"/>
              </w:rPr>
              <w:t>n</w:t>
            </w:r>
            <w:r w:rsidRPr="00F86CA9">
              <w:rPr>
                <w:rFonts w:eastAsia="等线"/>
                <w:kern w:val="24"/>
                <w:szCs w:val="20"/>
                <w:vertAlign w:val="superscript"/>
                <w:lang w:val="en-GB"/>
              </w:rPr>
              <w:t>th</w:t>
            </w:r>
            <w:r w:rsidRPr="00F86CA9">
              <w:rPr>
                <w:rFonts w:eastAsia="Times New Roman"/>
                <w:kern w:val="0"/>
                <w:szCs w:val="20"/>
                <w:lang w:val="en-GB"/>
              </w:rPr>
              <w:t xml:space="preserve"> transmission occasion of the CSI-RS/SSB resources for monitoring. </w:t>
            </w:r>
          </w:p>
          <w:p w14:paraId="2CAA902B" w14:textId="77777777" w:rsidR="00F80FB0" w:rsidRPr="00886CF9" w:rsidRDefault="00F80FB0" w:rsidP="00F80FB0">
            <w:pPr>
              <w:widowControl/>
              <w:numPr>
                <w:ilvl w:val="1"/>
                <w:numId w:val="20"/>
              </w:numPr>
              <w:overflowPunct w:val="0"/>
              <w:autoSpaceDE w:val="0"/>
              <w:autoSpaceDN w:val="0"/>
              <w:adjustRightInd w:val="0"/>
              <w:snapToGrid w:val="0"/>
              <w:spacing w:beforeLines="30" w:before="93" w:afterLines="30" w:after="93" w:line="288" w:lineRule="auto"/>
              <w:textAlignment w:val="center"/>
              <w:rPr>
                <w:rFonts w:eastAsia="Batang"/>
                <w:kern w:val="0"/>
                <w:szCs w:val="20"/>
                <w:lang w:val="en-GB"/>
              </w:rPr>
            </w:pPr>
            <w:r w:rsidRPr="00F86CA9">
              <w:rPr>
                <w:rFonts w:eastAsia="宋体"/>
                <w:kern w:val="0"/>
                <w:szCs w:val="20"/>
                <w:lang w:val="en-GB"/>
              </w:rPr>
              <w:t>Wherein, the corresponding inference reports, and the transmission occas</w:t>
            </w:r>
            <w:r w:rsidRPr="00886CF9">
              <w:rPr>
                <w:rFonts w:eastAsia="宋体"/>
                <w:kern w:val="0"/>
                <w:szCs w:val="20"/>
                <w:lang w:val="en-GB"/>
              </w:rPr>
              <w:t xml:space="preserve">ions </w:t>
            </w:r>
            <w:r w:rsidRPr="00886CF9">
              <w:rPr>
                <w:rFonts w:eastAsia="Times New Roman"/>
                <w:kern w:val="0"/>
                <w:szCs w:val="20"/>
                <w:lang w:val="en-GB"/>
              </w:rPr>
              <w:t xml:space="preserve">of the CSI-RS/SSB resources </w:t>
            </w:r>
            <w:r w:rsidRPr="00886CF9">
              <w:rPr>
                <w:rFonts w:eastAsia="宋体"/>
                <w:kern w:val="0"/>
                <w:szCs w:val="20"/>
                <w:lang w:val="en-GB"/>
              </w:rPr>
              <w:t>for monitoring, are no later than the CSI reference resource corresponding to the CSI report for monitoring</w:t>
            </w:r>
          </w:p>
          <w:p w14:paraId="266998B1" w14:textId="77777777" w:rsidR="00F80FB0" w:rsidRPr="00EC1B91" w:rsidRDefault="00F80FB0" w:rsidP="00F80FB0">
            <w:pPr>
              <w:widowControl/>
              <w:numPr>
                <w:ilvl w:val="1"/>
                <w:numId w:val="20"/>
              </w:numPr>
              <w:overflowPunct w:val="0"/>
              <w:autoSpaceDE w:val="0"/>
              <w:autoSpaceDN w:val="0"/>
              <w:adjustRightInd w:val="0"/>
              <w:snapToGrid w:val="0"/>
              <w:spacing w:beforeLines="30" w:before="93" w:afterLines="30" w:after="93" w:line="288" w:lineRule="auto"/>
              <w:textAlignment w:val="center"/>
              <w:rPr>
                <w:rFonts w:eastAsia="MS Mincho"/>
                <w:kern w:val="0"/>
                <w:szCs w:val="20"/>
                <w:lang w:val="en-GB" w:eastAsia="ja-JP"/>
              </w:rPr>
            </w:pPr>
            <w:r w:rsidRPr="00886CF9">
              <w:rPr>
                <w:rFonts w:eastAsia="等线"/>
                <w:kern w:val="0"/>
                <w:szCs w:val="20"/>
                <w:lang w:val="en-GB"/>
              </w:rPr>
              <w:t>Predefines</w:t>
            </w:r>
            <w:r w:rsidRPr="00886CF9">
              <w:rPr>
                <w:rFonts w:eastAsia="Times New Roman"/>
                <w:kern w:val="0"/>
                <w:szCs w:val="20"/>
                <w:lang w:val="en-GB"/>
              </w:rPr>
              <w:t xml:space="preserve"> a threshold X =64, where the minimal slot offset </w:t>
            </w:r>
            <w:r w:rsidRPr="00886CF9">
              <w:rPr>
                <w:rFonts w:eastAsia="Times New Roman"/>
                <w:i/>
                <w:iCs/>
                <w:kern w:val="0"/>
                <w:szCs w:val="20"/>
                <w:lang w:val="en-GB"/>
              </w:rPr>
              <w:t>k</w:t>
            </w:r>
            <w:r w:rsidRPr="00886CF9">
              <w:rPr>
                <w:rFonts w:eastAsia="Times New Roman"/>
                <w:kern w:val="0"/>
                <w:szCs w:val="20"/>
                <w:lang w:val="en-GB"/>
              </w:rPr>
              <w:t xml:space="preserve"> is no larger than X; otherwise, the transmission occasion for monitoring has no linked time instance. </w:t>
            </w:r>
          </w:p>
        </w:tc>
      </w:tr>
    </w:tbl>
    <w:p w14:paraId="51626C91" w14:textId="7EEB88E4" w:rsidR="00F80FB0" w:rsidRDefault="00F80FB0" w:rsidP="00F80FB0">
      <w:pPr>
        <w:spacing w:before="120"/>
      </w:pPr>
      <w:r>
        <w:rPr>
          <w:rFonts w:hint="eastAsia"/>
        </w:rPr>
        <w:t>I</w:t>
      </w:r>
      <w:r>
        <w:t>n the AI-</w:t>
      </w:r>
      <w:proofErr w:type="spellStart"/>
      <w:r>
        <w:t>phy</w:t>
      </w:r>
      <w:proofErr w:type="spellEnd"/>
      <w:r>
        <w:t xml:space="preserve"> beam management Case 2, the different prediction point within the prediction window are monitored separately. The same principle </w:t>
      </w:r>
      <w:r w:rsidR="003E7765">
        <w:t>can also</w:t>
      </w:r>
      <w:r>
        <w:t xml:space="preserve"> apply on the AI-mo</w:t>
      </w:r>
      <w:r w:rsidR="00324CCD">
        <w:t>b</w:t>
      </w:r>
      <w:r>
        <w:t xml:space="preserve">. </w:t>
      </w:r>
    </w:p>
    <w:p w14:paraId="47EBDD67" w14:textId="001A1D2F" w:rsidR="00F80FB0" w:rsidRPr="00144BC7" w:rsidRDefault="00F80FB0" w:rsidP="00F80FB0">
      <w:pPr>
        <w:spacing w:before="120"/>
        <w:rPr>
          <w:b/>
        </w:rPr>
      </w:pPr>
      <w:bookmarkStart w:id="6" w:name="_Hlk206163298"/>
      <w:r w:rsidRPr="000B0D2E">
        <w:rPr>
          <w:rFonts w:hint="eastAsia"/>
          <w:b/>
        </w:rPr>
        <w:t>O</w:t>
      </w:r>
      <w:r w:rsidRPr="000B0D2E">
        <w:rPr>
          <w:b/>
        </w:rPr>
        <w:t>bservation</w:t>
      </w:r>
      <w:r w:rsidR="00134A1C">
        <w:rPr>
          <w:b/>
        </w:rPr>
        <w:t xml:space="preserve"> 12</w:t>
      </w:r>
      <w:r w:rsidRPr="000B0D2E">
        <w:rPr>
          <w:b/>
        </w:rPr>
        <w:t>: In the AI-</w:t>
      </w:r>
      <w:proofErr w:type="spellStart"/>
      <w:r w:rsidRPr="000B0D2E">
        <w:rPr>
          <w:b/>
        </w:rPr>
        <w:t>phy</w:t>
      </w:r>
      <w:proofErr w:type="spellEnd"/>
      <w:r w:rsidRPr="000B0D2E">
        <w:rPr>
          <w:b/>
        </w:rPr>
        <w:t xml:space="preserve"> BM-Case 2, the monitoring metric are calculated for different predict</w:t>
      </w:r>
      <w:r>
        <w:rPr>
          <w:b/>
        </w:rPr>
        <w:t>ed</w:t>
      </w:r>
      <w:r w:rsidRPr="000B0D2E">
        <w:rPr>
          <w:b/>
        </w:rPr>
        <w:t xml:space="preserve"> points within PW, separately.</w:t>
      </w:r>
    </w:p>
    <w:bookmarkEnd w:id="6"/>
    <w:p w14:paraId="3CC1510E" w14:textId="4B25E22A" w:rsidR="00F80FB0" w:rsidRDefault="00F80FB0" w:rsidP="004967E9">
      <w:pPr>
        <w:spacing w:beforeLines="50" w:before="156"/>
      </w:pPr>
      <w:r w:rsidRPr="00F80FB0">
        <w:t>And, as observed in the simulation, the prediction distance is shorter, and the prediction performance is better. If L3 RSRP difference is calculated</w:t>
      </w:r>
      <w:r w:rsidR="00147984">
        <w:t xml:space="preserve"> by averaging prediction errors of</w:t>
      </w:r>
      <w:r w:rsidRPr="00F80FB0">
        <w:t xml:space="preserve"> all the predicted point</w:t>
      </w:r>
      <w:r w:rsidR="00134A1C">
        <w:t>s</w:t>
      </w:r>
      <w:r w:rsidRPr="00F80FB0">
        <w:t xml:space="preserve"> within PW, the bad prediction performance of latter part of the PW may be averaged by the front part. The information that the network can obtain from the monitoring report is limited.</w:t>
      </w:r>
    </w:p>
    <w:p w14:paraId="05733AC6" w14:textId="1DC262F7" w:rsidR="00147984" w:rsidRDefault="004967E9" w:rsidP="004967E9">
      <w:pPr>
        <w:spacing w:beforeLines="50" w:before="156"/>
        <w:rPr>
          <w:b/>
        </w:rPr>
      </w:pPr>
      <w:bookmarkStart w:id="7" w:name="_Hlk206163307"/>
      <w:r w:rsidRPr="00F80FB0">
        <w:rPr>
          <w:b/>
        </w:rPr>
        <w:t>Observation</w:t>
      </w:r>
      <w:r w:rsidR="00134A1C">
        <w:rPr>
          <w:b/>
        </w:rPr>
        <w:t xml:space="preserve"> 13</w:t>
      </w:r>
      <w:r w:rsidRPr="00F80FB0">
        <w:rPr>
          <w:b/>
        </w:rPr>
        <w:t xml:space="preserve">: For temporal domain prediction, </w:t>
      </w:r>
      <w:r w:rsidR="00147984">
        <w:rPr>
          <w:b/>
        </w:rPr>
        <w:t>a</w:t>
      </w:r>
      <w:r w:rsidR="00147984" w:rsidRPr="00147984">
        <w:rPr>
          <w:b/>
        </w:rPr>
        <w:t>veraging the prediction errors of all results within the PW to calculate the 'RSRP difference' may lead to a loss of information</w:t>
      </w:r>
      <w:r w:rsidR="00147984">
        <w:rPr>
          <w:b/>
        </w:rPr>
        <w:t xml:space="preserve">, because the bad prediction performance of latter part </w:t>
      </w:r>
      <w:proofErr w:type="gramStart"/>
      <w:r w:rsidR="008C77B4">
        <w:rPr>
          <w:b/>
        </w:rPr>
        <w:t>are</w:t>
      </w:r>
      <w:proofErr w:type="gramEnd"/>
      <w:r w:rsidR="00147984">
        <w:rPr>
          <w:b/>
        </w:rPr>
        <w:t xml:space="preserve"> average</w:t>
      </w:r>
      <w:r w:rsidR="008C77B4">
        <w:rPr>
          <w:b/>
        </w:rPr>
        <w:t>d</w:t>
      </w:r>
      <w:r w:rsidR="00147984">
        <w:rPr>
          <w:b/>
        </w:rPr>
        <w:t>.</w:t>
      </w:r>
    </w:p>
    <w:p w14:paraId="39F5743C" w14:textId="44247B29" w:rsidR="00A47D13" w:rsidRPr="00A47D13" w:rsidRDefault="004967E9" w:rsidP="004967E9">
      <w:pPr>
        <w:spacing w:beforeLines="50" w:before="156"/>
        <w:rPr>
          <w:b/>
        </w:rPr>
      </w:pPr>
      <w:bookmarkStart w:id="8" w:name="_Hlk206163315"/>
      <w:bookmarkEnd w:id="7"/>
      <w:r w:rsidRPr="00A47D13">
        <w:rPr>
          <w:b/>
        </w:rPr>
        <w:lastRenderedPageBreak/>
        <w:t>Proposal</w:t>
      </w:r>
      <w:r w:rsidR="003A1776">
        <w:rPr>
          <w:b/>
        </w:rPr>
        <w:t xml:space="preserve"> 16</w:t>
      </w:r>
      <w:r w:rsidRPr="00A47D13">
        <w:rPr>
          <w:b/>
        </w:rPr>
        <w:t>: For temporal domain case A and case B,</w:t>
      </w:r>
      <w:r w:rsidR="00A47D13" w:rsidRPr="00A47D13">
        <w:rPr>
          <w:b/>
        </w:rPr>
        <w:t xml:space="preserve"> the monitoring metric is the RSRP difference for each prediction result within PW.</w:t>
      </w:r>
    </w:p>
    <w:bookmarkEnd w:id="8"/>
    <w:p w14:paraId="2EB7120B" w14:textId="4AEEDA33" w:rsidR="00015F31" w:rsidRDefault="00015F31" w:rsidP="00015F31">
      <w:r>
        <w:t>In addition, i</w:t>
      </w:r>
      <w:r w:rsidRPr="001F4F2C">
        <w:t xml:space="preserve">n the existing RRM measurement framework, </w:t>
      </w:r>
      <w:r>
        <w:t xml:space="preserve">for cell results, the UE reports the cell results of serving cell and the best neighbor cells up to </w:t>
      </w:r>
      <w:proofErr w:type="spellStart"/>
      <w:r w:rsidRPr="00CA63A8">
        <w:rPr>
          <w:i/>
        </w:rPr>
        <w:t>maxReportCells</w:t>
      </w:r>
      <w:proofErr w:type="spellEnd"/>
      <w:r>
        <w:t xml:space="preserve"> to the network; for beam results, the UE reports best beam results up to </w:t>
      </w:r>
      <w:proofErr w:type="spellStart"/>
      <w:r>
        <w:rPr>
          <w:i/>
        </w:rPr>
        <w:t>maxNrofRS-IndexesToReport</w:t>
      </w:r>
      <w:proofErr w:type="spellEnd"/>
      <w:r>
        <w:rPr>
          <w:i/>
        </w:rPr>
        <w:t xml:space="preserve"> </w:t>
      </w:r>
      <w:r>
        <w:t xml:space="preserve">per reported cell to the network. For performance monitoring, even if the prediction results on the cells with low quality is large, considering the UE will not report them to the network, they will not impact system performance. So, in our understanding, the UE does not need to monitor the prediction performance of all the cells on one frequency, which increases unnecessary workload. The UE can monitor the prediction performance </w:t>
      </w:r>
      <w:r w:rsidR="00787D7A">
        <w:t>of serving cell and top-K neighbor cells.</w:t>
      </w:r>
      <w:r w:rsidR="00405F89">
        <w:t xml:space="preserve"> Similarly, for beam level prediction, the UE can monitor the</w:t>
      </w:r>
      <w:r w:rsidR="003B41B3">
        <w:t xml:space="preserve"> prediction performance of</w:t>
      </w:r>
      <w:r w:rsidR="00405F89">
        <w:t xml:space="preserve"> top-M beam </w:t>
      </w:r>
      <w:r w:rsidR="001B42AC">
        <w:t xml:space="preserve">for each </w:t>
      </w:r>
      <w:r w:rsidR="00405F89">
        <w:t>monitored cell.</w:t>
      </w:r>
    </w:p>
    <w:p w14:paraId="4D4B9F42" w14:textId="05FD7744" w:rsidR="004D7E34" w:rsidRPr="00015F31" w:rsidRDefault="004D7E34" w:rsidP="004D7E34">
      <w:pPr>
        <w:spacing w:beforeLines="50" w:before="156"/>
        <w:rPr>
          <w:b/>
        </w:rPr>
      </w:pPr>
      <w:bookmarkStart w:id="9" w:name="_Hlk206163324"/>
      <w:r w:rsidRPr="00015F31">
        <w:rPr>
          <w:b/>
        </w:rPr>
        <w:t>Observation</w:t>
      </w:r>
      <w:r w:rsidR="00075CA7">
        <w:rPr>
          <w:b/>
        </w:rPr>
        <w:t xml:space="preserve"> 14</w:t>
      </w:r>
      <w:r w:rsidRPr="00015F31">
        <w:rPr>
          <w:b/>
        </w:rPr>
        <w:t xml:space="preserve">: The UE reports cell results and beam results with top quality to the network, the prediction error on the cells/beams not included in the </w:t>
      </w:r>
      <w:r w:rsidR="00015F31">
        <w:rPr>
          <w:b/>
        </w:rPr>
        <w:t>measurement</w:t>
      </w:r>
      <w:r w:rsidRPr="00015F31">
        <w:rPr>
          <w:b/>
        </w:rPr>
        <w:t xml:space="preserve"> report will not impact system performance.</w:t>
      </w:r>
    </w:p>
    <w:p w14:paraId="41C7900C" w14:textId="333BD1C4" w:rsidR="00787D7A" w:rsidRPr="00405F89" w:rsidRDefault="004D7E34" w:rsidP="004D7E34">
      <w:pPr>
        <w:spacing w:beforeLines="50" w:before="156"/>
        <w:rPr>
          <w:b/>
        </w:rPr>
      </w:pPr>
      <w:bookmarkStart w:id="10" w:name="_Hlk206163333"/>
      <w:bookmarkEnd w:id="9"/>
      <w:r w:rsidRPr="00405F89">
        <w:rPr>
          <w:b/>
        </w:rPr>
        <w:t>Proposal</w:t>
      </w:r>
      <w:r w:rsidR="003A1776">
        <w:rPr>
          <w:b/>
        </w:rPr>
        <w:t xml:space="preserve"> 17</w:t>
      </w:r>
      <w:r w:rsidRPr="00405F89">
        <w:rPr>
          <w:b/>
        </w:rPr>
        <w:t>: For</w:t>
      </w:r>
      <w:r w:rsidR="001B42AC">
        <w:rPr>
          <w:b/>
        </w:rPr>
        <w:t xml:space="preserve"> monitoring on</w:t>
      </w:r>
      <w:r w:rsidRPr="00405F89">
        <w:rPr>
          <w:b/>
        </w:rPr>
        <w:t xml:space="preserve"> cell level prediction, </w:t>
      </w:r>
      <w:r w:rsidR="00787D7A" w:rsidRPr="00405F89">
        <w:rPr>
          <w:b/>
        </w:rPr>
        <w:t>to monitor the prediction performance of serving cell and top-K neighbor cell.</w:t>
      </w:r>
    </w:p>
    <w:p w14:paraId="0424AA55" w14:textId="7F2728C2" w:rsidR="00787D7A" w:rsidRPr="00447762" w:rsidRDefault="00447762" w:rsidP="004D7E34">
      <w:pPr>
        <w:spacing w:beforeLines="50" w:before="156"/>
        <w:rPr>
          <w:b/>
        </w:rPr>
      </w:pPr>
      <w:r w:rsidRPr="00447762">
        <w:rPr>
          <w:rFonts w:hint="eastAsia"/>
          <w:b/>
        </w:rPr>
        <w:t>P</w:t>
      </w:r>
      <w:r w:rsidRPr="00447762">
        <w:rPr>
          <w:b/>
        </w:rPr>
        <w:t>roposal</w:t>
      </w:r>
      <w:r w:rsidR="003A1776">
        <w:rPr>
          <w:b/>
        </w:rPr>
        <w:t xml:space="preserve"> 18</w:t>
      </w:r>
      <w:r w:rsidRPr="00447762">
        <w:rPr>
          <w:b/>
        </w:rPr>
        <w:t>: For</w:t>
      </w:r>
      <w:r w:rsidR="001B42AC">
        <w:rPr>
          <w:b/>
        </w:rPr>
        <w:t xml:space="preserve"> monitoring on beam level prediction</w:t>
      </w:r>
      <w:r w:rsidRPr="00447762">
        <w:rPr>
          <w:b/>
        </w:rPr>
        <w:t xml:space="preserve">, to monitor the prediction performance of top-M beam </w:t>
      </w:r>
      <w:r>
        <w:rPr>
          <w:b/>
        </w:rPr>
        <w:t>for each monitored cell.</w:t>
      </w:r>
    </w:p>
    <w:bookmarkEnd w:id="10"/>
    <w:p w14:paraId="37FACB5A" w14:textId="175753A2" w:rsidR="00F2606C" w:rsidRDefault="00F2606C" w:rsidP="00BB464F">
      <w:pPr>
        <w:spacing w:beforeLines="50" w:before="156"/>
      </w:pPr>
    </w:p>
    <w:bookmarkEnd w:id="3"/>
    <w:p w14:paraId="054DB9CC"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5EAFC7A3" w14:textId="77777777" w:rsidR="00E659F9" w:rsidRPr="00E659F9" w:rsidRDefault="00E659F9" w:rsidP="00E659F9">
      <w:pPr>
        <w:pStyle w:val="afd"/>
        <w:shd w:val="clear" w:color="auto" w:fill="FFFFFF"/>
        <w:rPr>
          <w:rFonts w:eastAsiaTheme="minorEastAsia"/>
          <w:b/>
          <w:kern w:val="2"/>
          <w:sz w:val="20"/>
          <w:lang w:val="en-US" w:eastAsia="zh-CN"/>
        </w:rPr>
      </w:pPr>
      <w:r w:rsidRPr="00E659F9">
        <w:rPr>
          <w:rFonts w:eastAsiaTheme="minorEastAsia"/>
          <w:b/>
          <w:kern w:val="2"/>
          <w:sz w:val="20"/>
          <w:lang w:val="en-US" w:eastAsia="zh-CN"/>
        </w:rPr>
        <w:t>Observation 1: For applicability reporting, RAN2 agreed that Option A and Option B like schemes agreed in AI-</w:t>
      </w:r>
      <w:proofErr w:type="spellStart"/>
      <w:r w:rsidRPr="00E659F9">
        <w:rPr>
          <w:rFonts w:eastAsiaTheme="minorEastAsia"/>
          <w:b/>
          <w:kern w:val="2"/>
          <w:sz w:val="20"/>
          <w:lang w:val="en-US" w:eastAsia="zh-CN"/>
        </w:rPr>
        <w:t>Phy</w:t>
      </w:r>
      <w:proofErr w:type="spellEnd"/>
      <w:r w:rsidRPr="00E659F9">
        <w:rPr>
          <w:rFonts w:eastAsiaTheme="minorEastAsia"/>
          <w:b/>
          <w:kern w:val="2"/>
          <w:sz w:val="20"/>
          <w:lang w:val="en-US" w:eastAsia="zh-CN"/>
        </w:rPr>
        <w:t xml:space="preserve"> will be considered for AI-Mobility.</w:t>
      </w:r>
    </w:p>
    <w:p w14:paraId="188AAF5B" w14:textId="77777777" w:rsidR="00E659F9" w:rsidRPr="00E659F9" w:rsidRDefault="00E659F9" w:rsidP="00E659F9">
      <w:pPr>
        <w:pStyle w:val="afd"/>
        <w:shd w:val="clear" w:color="auto" w:fill="FFFFFF"/>
        <w:rPr>
          <w:rFonts w:eastAsiaTheme="minorEastAsia"/>
          <w:b/>
          <w:kern w:val="2"/>
          <w:sz w:val="20"/>
          <w:lang w:val="en-US" w:eastAsia="zh-CN"/>
        </w:rPr>
      </w:pPr>
      <w:r w:rsidRPr="00E659F9">
        <w:rPr>
          <w:rFonts w:eastAsiaTheme="minorEastAsia"/>
          <w:b/>
          <w:kern w:val="2"/>
          <w:sz w:val="20"/>
          <w:lang w:val="en-US" w:eastAsia="zh-CN"/>
        </w:rPr>
        <w:t>Observation 2:  In RAN2#130, RAN2 already agreed some inference parameters for RRM prediction, however, it is undetermined how to provide those configurations to UE.</w:t>
      </w:r>
    </w:p>
    <w:p w14:paraId="1B75E232" w14:textId="77777777" w:rsidR="00E659F9" w:rsidRPr="00E659F9" w:rsidRDefault="00E659F9" w:rsidP="00E659F9">
      <w:pPr>
        <w:pStyle w:val="afd"/>
        <w:shd w:val="clear" w:color="auto" w:fill="FFFFFF"/>
        <w:rPr>
          <w:rFonts w:eastAsiaTheme="minorEastAsia"/>
          <w:b/>
          <w:kern w:val="2"/>
          <w:sz w:val="20"/>
          <w:lang w:val="en-US" w:eastAsia="zh-CN"/>
        </w:rPr>
      </w:pPr>
      <w:r w:rsidRPr="00E659F9">
        <w:rPr>
          <w:rFonts w:eastAsiaTheme="minorEastAsia"/>
          <w:b/>
          <w:kern w:val="2"/>
          <w:sz w:val="20"/>
          <w:lang w:val="en-US" w:eastAsia="zh-CN"/>
        </w:rPr>
        <w:t xml:space="preserve">Observation 3: In current RRC spec, there is restriction that for a given SSB frequency, at most one MO can be configured for SSB-based measurement. If inference parameters are put in </w:t>
      </w:r>
      <w:proofErr w:type="spellStart"/>
      <w:r w:rsidRPr="00E659F9">
        <w:rPr>
          <w:rFonts w:eastAsiaTheme="minorEastAsia"/>
          <w:b/>
          <w:kern w:val="2"/>
          <w:sz w:val="20"/>
          <w:lang w:val="en-US" w:eastAsia="zh-CN"/>
        </w:rPr>
        <w:t>MeasObject</w:t>
      </w:r>
      <w:proofErr w:type="spellEnd"/>
      <w:r w:rsidRPr="00E659F9">
        <w:rPr>
          <w:rFonts w:eastAsiaTheme="minorEastAsia"/>
          <w:b/>
          <w:kern w:val="2"/>
          <w:sz w:val="20"/>
          <w:lang w:val="en-US" w:eastAsia="zh-CN"/>
        </w:rPr>
        <w:t xml:space="preserve">, we need to break the rule in order to provide different inference parameters for a given frequency. </w:t>
      </w:r>
    </w:p>
    <w:p w14:paraId="26158528" w14:textId="77777777" w:rsidR="00E659F9" w:rsidRPr="00E659F9" w:rsidRDefault="00E659F9" w:rsidP="00E659F9">
      <w:pPr>
        <w:pStyle w:val="afd"/>
        <w:shd w:val="clear" w:color="auto" w:fill="FFFFFF"/>
        <w:rPr>
          <w:rFonts w:eastAsiaTheme="minorEastAsia"/>
          <w:b/>
          <w:kern w:val="2"/>
          <w:sz w:val="20"/>
          <w:lang w:val="en-US" w:eastAsia="zh-CN"/>
        </w:rPr>
      </w:pPr>
      <w:r w:rsidRPr="00E659F9">
        <w:rPr>
          <w:rFonts w:eastAsiaTheme="minorEastAsia"/>
          <w:b/>
          <w:kern w:val="2"/>
          <w:sz w:val="20"/>
          <w:lang w:val="en-US" w:eastAsia="zh-CN"/>
        </w:rPr>
        <w:t xml:space="preserve">Observation 4: In </w:t>
      </w:r>
      <w:proofErr w:type="spellStart"/>
      <w:r w:rsidRPr="00E659F9">
        <w:rPr>
          <w:rFonts w:eastAsiaTheme="minorEastAsia"/>
          <w:b/>
          <w:kern w:val="2"/>
          <w:sz w:val="20"/>
          <w:lang w:val="en-US" w:eastAsia="zh-CN"/>
        </w:rPr>
        <w:t>reportConfigNR</w:t>
      </w:r>
      <w:proofErr w:type="spellEnd"/>
      <w:r w:rsidRPr="00E659F9">
        <w:rPr>
          <w:rFonts w:eastAsiaTheme="minorEastAsia"/>
          <w:b/>
          <w:kern w:val="2"/>
          <w:sz w:val="20"/>
          <w:lang w:val="en-US" w:eastAsia="zh-CN"/>
        </w:rPr>
        <w:t xml:space="preserve">, </w:t>
      </w:r>
      <w:proofErr w:type="spellStart"/>
      <w:r w:rsidRPr="00E659F9">
        <w:rPr>
          <w:rFonts w:eastAsiaTheme="minorEastAsia"/>
          <w:b/>
          <w:kern w:val="2"/>
          <w:sz w:val="20"/>
          <w:lang w:val="en-US" w:eastAsia="zh-CN"/>
        </w:rPr>
        <w:t>reportQuantityRS</w:t>
      </w:r>
      <w:proofErr w:type="spellEnd"/>
      <w:r w:rsidRPr="00E659F9">
        <w:rPr>
          <w:rFonts w:eastAsiaTheme="minorEastAsia"/>
          <w:b/>
          <w:kern w:val="2"/>
          <w:sz w:val="20"/>
          <w:lang w:val="en-US" w:eastAsia="zh-CN"/>
        </w:rPr>
        <w:t xml:space="preserve">-Indexes and </w:t>
      </w:r>
      <w:proofErr w:type="spellStart"/>
      <w:r w:rsidRPr="00E659F9">
        <w:rPr>
          <w:rFonts w:eastAsiaTheme="minorEastAsia"/>
          <w:b/>
          <w:kern w:val="2"/>
          <w:sz w:val="20"/>
          <w:lang w:val="en-US" w:eastAsia="zh-CN"/>
        </w:rPr>
        <w:t>maxNrofRS-IndexesToReport</w:t>
      </w:r>
      <w:proofErr w:type="spellEnd"/>
      <w:r w:rsidRPr="00E659F9">
        <w:rPr>
          <w:rFonts w:eastAsiaTheme="minorEastAsia"/>
          <w:b/>
          <w:kern w:val="2"/>
          <w:sz w:val="20"/>
          <w:lang w:val="en-US" w:eastAsia="zh-CN"/>
        </w:rPr>
        <w:t xml:space="preserve"> are used to indicate the UE whether to derive L3 beam results and whether to include beam results in measurement report.</w:t>
      </w:r>
    </w:p>
    <w:p w14:paraId="22A21F68" w14:textId="77777777" w:rsidR="00E659F9" w:rsidRPr="00E659F9" w:rsidRDefault="00E659F9" w:rsidP="00E659F9">
      <w:pPr>
        <w:pStyle w:val="afd"/>
        <w:shd w:val="clear" w:color="auto" w:fill="FFFFFF"/>
        <w:rPr>
          <w:rFonts w:eastAsiaTheme="minorEastAsia"/>
          <w:b/>
          <w:kern w:val="2"/>
          <w:sz w:val="20"/>
          <w:lang w:val="en-US" w:eastAsia="zh-CN"/>
        </w:rPr>
      </w:pPr>
      <w:r w:rsidRPr="00E659F9">
        <w:rPr>
          <w:rFonts w:eastAsiaTheme="minorEastAsia" w:hint="eastAsia"/>
          <w:b/>
          <w:kern w:val="2"/>
          <w:sz w:val="20"/>
          <w:lang w:val="en-US" w:eastAsia="zh-CN"/>
        </w:rPr>
        <w:t>Observation 5: Similar to Option A, a set of inference parameters for Option B can include e.g. PW length, skipping pattern, measured frequency. In addition, other configuration may also impact the applicability check, such as: predicted frequency</w:t>
      </w:r>
      <w:r w:rsidRPr="00E659F9">
        <w:rPr>
          <w:rFonts w:eastAsiaTheme="minorEastAsia" w:hint="eastAsia"/>
          <w:b/>
          <w:kern w:val="2"/>
          <w:sz w:val="20"/>
          <w:lang w:val="en-US" w:eastAsia="zh-CN"/>
        </w:rPr>
        <w:t>、</w:t>
      </w:r>
      <w:r w:rsidRPr="00E659F9">
        <w:rPr>
          <w:rFonts w:eastAsiaTheme="minorEastAsia" w:hint="eastAsia"/>
          <w:b/>
          <w:kern w:val="2"/>
          <w:sz w:val="20"/>
          <w:lang w:val="en-US" w:eastAsia="zh-CN"/>
        </w:rPr>
        <w:t>SMTC</w:t>
      </w:r>
      <w:r w:rsidRPr="00E659F9">
        <w:rPr>
          <w:rFonts w:eastAsiaTheme="minorEastAsia" w:hint="eastAsia"/>
          <w:b/>
          <w:kern w:val="2"/>
          <w:sz w:val="20"/>
          <w:lang w:val="en-US" w:eastAsia="zh-CN"/>
        </w:rPr>
        <w:t>、</w:t>
      </w:r>
      <w:r w:rsidRPr="00E659F9">
        <w:rPr>
          <w:rFonts w:eastAsiaTheme="minorEastAsia" w:hint="eastAsia"/>
          <w:b/>
          <w:kern w:val="2"/>
          <w:sz w:val="20"/>
          <w:lang w:val="en-US" w:eastAsia="zh-CN"/>
        </w:rPr>
        <w:t>bea</w:t>
      </w:r>
      <w:r w:rsidRPr="00E659F9">
        <w:rPr>
          <w:rFonts w:eastAsiaTheme="minorEastAsia"/>
          <w:b/>
          <w:kern w:val="2"/>
          <w:sz w:val="20"/>
          <w:lang w:val="en-US" w:eastAsia="zh-CN"/>
        </w:rPr>
        <w:t xml:space="preserve">m consolidation configurations (e.g. </w:t>
      </w:r>
      <w:proofErr w:type="spellStart"/>
      <w:r w:rsidRPr="00E659F9">
        <w:rPr>
          <w:rFonts w:eastAsiaTheme="minorEastAsia"/>
          <w:b/>
          <w:kern w:val="2"/>
          <w:sz w:val="20"/>
          <w:lang w:val="en-US" w:eastAsia="zh-CN"/>
        </w:rPr>
        <w:t>absThreshSS-BlocksConsolidation</w:t>
      </w:r>
      <w:proofErr w:type="spellEnd"/>
      <w:r w:rsidRPr="00E659F9">
        <w:rPr>
          <w:rFonts w:eastAsiaTheme="minorEastAsia"/>
          <w:b/>
          <w:kern w:val="2"/>
          <w:sz w:val="20"/>
          <w:lang w:val="en-US" w:eastAsia="zh-CN"/>
        </w:rPr>
        <w:t xml:space="preserve">, </w:t>
      </w:r>
      <w:proofErr w:type="spellStart"/>
      <w:r w:rsidRPr="00E659F9">
        <w:rPr>
          <w:rFonts w:eastAsiaTheme="minorEastAsia"/>
          <w:b/>
          <w:kern w:val="2"/>
          <w:sz w:val="20"/>
          <w:lang w:val="en-US" w:eastAsia="zh-CN"/>
        </w:rPr>
        <w:t>nrofSSB-BlocksToAverage</w:t>
      </w:r>
      <w:proofErr w:type="spellEnd"/>
      <w:r w:rsidRPr="00E659F9">
        <w:rPr>
          <w:rFonts w:eastAsiaTheme="minorEastAsia"/>
          <w:b/>
          <w:kern w:val="2"/>
          <w:sz w:val="20"/>
          <w:lang w:val="en-US" w:eastAsia="zh-CN"/>
        </w:rPr>
        <w:t>).</w:t>
      </w:r>
    </w:p>
    <w:p w14:paraId="409BA462" w14:textId="77777777" w:rsidR="00E659F9" w:rsidRPr="00E659F9" w:rsidRDefault="00E659F9" w:rsidP="00E659F9">
      <w:pPr>
        <w:pStyle w:val="afd"/>
        <w:shd w:val="clear" w:color="auto" w:fill="FFFFFF"/>
        <w:rPr>
          <w:rFonts w:eastAsiaTheme="minorEastAsia"/>
          <w:b/>
          <w:kern w:val="2"/>
          <w:sz w:val="20"/>
          <w:lang w:val="en-US" w:eastAsia="zh-CN"/>
        </w:rPr>
      </w:pPr>
      <w:r w:rsidRPr="00E659F9">
        <w:rPr>
          <w:rFonts w:eastAsiaTheme="minorEastAsia"/>
          <w:b/>
          <w:kern w:val="2"/>
          <w:sz w:val="20"/>
          <w:lang w:val="en-US" w:eastAsia="zh-CN"/>
        </w:rPr>
        <w:t xml:space="preserve">Observation 6: For simplicity and </w:t>
      </w:r>
      <w:proofErr w:type="spellStart"/>
      <w:r w:rsidRPr="00E659F9">
        <w:rPr>
          <w:rFonts w:eastAsiaTheme="minorEastAsia"/>
          <w:b/>
          <w:kern w:val="2"/>
          <w:sz w:val="20"/>
          <w:lang w:val="en-US" w:eastAsia="zh-CN"/>
        </w:rPr>
        <w:t>signalling</w:t>
      </w:r>
      <w:proofErr w:type="spellEnd"/>
      <w:r w:rsidRPr="00E659F9">
        <w:rPr>
          <w:rFonts w:eastAsiaTheme="minorEastAsia"/>
          <w:b/>
          <w:kern w:val="2"/>
          <w:sz w:val="20"/>
          <w:lang w:val="en-US" w:eastAsia="zh-CN"/>
        </w:rPr>
        <w:t xml:space="preserve"> reduction, the each set of inference parameters can link to one </w:t>
      </w:r>
      <w:proofErr w:type="spellStart"/>
      <w:r w:rsidRPr="00E659F9">
        <w:rPr>
          <w:rFonts w:eastAsiaTheme="minorEastAsia"/>
          <w:b/>
          <w:kern w:val="2"/>
          <w:sz w:val="20"/>
          <w:lang w:val="en-US" w:eastAsia="zh-CN"/>
        </w:rPr>
        <w:t>measObjectID</w:t>
      </w:r>
      <w:proofErr w:type="spellEnd"/>
      <w:r w:rsidRPr="00E659F9">
        <w:rPr>
          <w:rFonts w:eastAsiaTheme="minorEastAsia"/>
          <w:b/>
          <w:kern w:val="2"/>
          <w:sz w:val="20"/>
          <w:lang w:val="en-US" w:eastAsia="zh-CN"/>
        </w:rPr>
        <w:t>.</w:t>
      </w:r>
    </w:p>
    <w:p w14:paraId="2DFE2802" w14:textId="77777777" w:rsidR="00E659F9" w:rsidRPr="00E659F9" w:rsidRDefault="00E659F9" w:rsidP="00E659F9">
      <w:pPr>
        <w:pStyle w:val="afd"/>
        <w:shd w:val="clear" w:color="auto" w:fill="FFFFFF"/>
        <w:rPr>
          <w:rFonts w:eastAsiaTheme="minorEastAsia"/>
          <w:b/>
          <w:kern w:val="2"/>
          <w:sz w:val="20"/>
          <w:lang w:val="en-US" w:eastAsia="zh-CN"/>
        </w:rPr>
      </w:pPr>
      <w:r w:rsidRPr="00E659F9">
        <w:rPr>
          <w:rFonts w:eastAsiaTheme="minorEastAsia"/>
          <w:b/>
          <w:kern w:val="2"/>
          <w:sz w:val="20"/>
          <w:lang w:val="en-US" w:eastAsia="zh-CN"/>
        </w:rPr>
        <w:lastRenderedPageBreak/>
        <w:t>Observation 7: For the 1st study goal, earlier UE inference enables earlier realization of measurement reduction and throughput improvements.</w:t>
      </w:r>
    </w:p>
    <w:p w14:paraId="0A51977E" w14:textId="77777777" w:rsidR="00E659F9" w:rsidRPr="00E659F9" w:rsidRDefault="00E659F9" w:rsidP="00E659F9">
      <w:pPr>
        <w:pStyle w:val="afd"/>
        <w:shd w:val="clear" w:color="auto" w:fill="FFFFFF"/>
        <w:rPr>
          <w:rFonts w:eastAsiaTheme="minorEastAsia"/>
          <w:b/>
          <w:kern w:val="2"/>
          <w:sz w:val="20"/>
          <w:lang w:val="en-US" w:eastAsia="zh-CN"/>
        </w:rPr>
      </w:pPr>
      <w:r w:rsidRPr="00E659F9">
        <w:rPr>
          <w:rFonts w:eastAsiaTheme="minorEastAsia"/>
          <w:b/>
          <w:kern w:val="2"/>
          <w:sz w:val="20"/>
          <w:lang w:val="en-US" w:eastAsia="zh-CN"/>
        </w:rPr>
        <w:t xml:space="preserve">Observation 8: For temporal domain Case A, the typical use case is to predict when the handover will happen. So, to reduce the GPU/CPU consumption, it is fine to start the inference when the UE is near cell edge. </w:t>
      </w:r>
    </w:p>
    <w:p w14:paraId="772D6A2D" w14:textId="77777777" w:rsidR="00E659F9" w:rsidRPr="00E659F9" w:rsidRDefault="00E659F9" w:rsidP="00E659F9">
      <w:pPr>
        <w:pStyle w:val="afd"/>
        <w:shd w:val="clear" w:color="auto" w:fill="FFFFFF"/>
        <w:rPr>
          <w:rFonts w:eastAsiaTheme="minorEastAsia"/>
          <w:b/>
          <w:kern w:val="2"/>
          <w:sz w:val="20"/>
          <w:lang w:val="en-US" w:eastAsia="zh-CN"/>
        </w:rPr>
      </w:pPr>
      <w:r w:rsidRPr="00E659F9">
        <w:rPr>
          <w:rFonts w:eastAsiaTheme="minorEastAsia"/>
          <w:b/>
          <w:kern w:val="2"/>
          <w:sz w:val="20"/>
          <w:lang w:val="en-US" w:eastAsia="zh-CN"/>
        </w:rPr>
        <w:t>Observation 9: For temporal domain Case A, it is more flexible if the network can control when the UE starts model inference.</w:t>
      </w:r>
    </w:p>
    <w:p w14:paraId="244F4366" w14:textId="77777777" w:rsidR="00E659F9" w:rsidRPr="00E659F9" w:rsidRDefault="00E659F9" w:rsidP="00E659F9">
      <w:pPr>
        <w:pStyle w:val="afd"/>
        <w:shd w:val="clear" w:color="auto" w:fill="FFFFFF"/>
        <w:rPr>
          <w:rFonts w:eastAsiaTheme="minorEastAsia"/>
          <w:b/>
          <w:kern w:val="2"/>
          <w:sz w:val="20"/>
          <w:lang w:val="en-US" w:eastAsia="zh-CN"/>
        </w:rPr>
      </w:pPr>
      <w:r w:rsidRPr="00E659F9">
        <w:rPr>
          <w:rFonts w:eastAsiaTheme="minorEastAsia"/>
          <w:b/>
          <w:kern w:val="2"/>
          <w:sz w:val="20"/>
          <w:lang w:val="en-US" w:eastAsia="zh-CN"/>
        </w:rPr>
        <w:t xml:space="preserve">Observation 10: For pure RRM measurement prediction, the network can set the </w:t>
      </w:r>
      <w:proofErr w:type="spellStart"/>
      <w:r w:rsidRPr="00E659F9">
        <w:rPr>
          <w:rFonts w:eastAsiaTheme="minorEastAsia"/>
          <w:b/>
          <w:kern w:val="2"/>
          <w:sz w:val="20"/>
          <w:lang w:val="en-US" w:eastAsia="zh-CN"/>
        </w:rPr>
        <w:t>reportType</w:t>
      </w:r>
      <w:proofErr w:type="spellEnd"/>
      <w:r w:rsidRPr="00E659F9">
        <w:rPr>
          <w:rFonts w:eastAsiaTheme="minorEastAsia"/>
          <w:b/>
          <w:kern w:val="2"/>
          <w:sz w:val="20"/>
          <w:lang w:val="en-US" w:eastAsia="zh-CN"/>
        </w:rPr>
        <w:t xml:space="preserve"> to periodical in </w:t>
      </w:r>
      <w:proofErr w:type="spellStart"/>
      <w:r w:rsidRPr="00E659F9">
        <w:rPr>
          <w:rFonts w:eastAsiaTheme="minorEastAsia"/>
          <w:b/>
          <w:kern w:val="2"/>
          <w:sz w:val="20"/>
          <w:lang w:val="en-US" w:eastAsia="zh-CN"/>
        </w:rPr>
        <w:t>ReportConfigNR</w:t>
      </w:r>
      <w:proofErr w:type="spellEnd"/>
      <w:r w:rsidRPr="00E659F9">
        <w:rPr>
          <w:rFonts w:eastAsiaTheme="minorEastAsia"/>
          <w:b/>
          <w:kern w:val="2"/>
          <w:sz w:val="20"/>
          <w:lang w:val="en-US" w:eastAsia="zh-CN"/>
        </w:rPr>
        <w:t>.</w:t>
      </w:r>
    </w:p>
    <w:p w14:paraId="0FD96E0F" w14:textId="77777777" w:rsidR="00E659F9" w:rsidRPr="00E659F9" w:rsidRDefault="00E659F9" w:rsidP="00E659F9">
      <w:pPr>
        <w:pStyle w:val="afd"/>
        <w:shd w:val="clear" w:color="auto" w:fill="FFFFFF"/>
        <w:rPr>
          <w:rFonts w:eastAsiaTheme="minorEastAsia"/>
          <w:b/>
          <w:kern w:val="2"/>
          <w:sz w:val="20"/>
          <w:lang w:val="en-US" w:eastAsia="zh-CN"/>
        </w:rPr>
      </w:pPr>
      <w:r w:rsidRPr="00E659F9">
        <w:rPr>
          <w:rFonts w:eastAsiaTheme="minorEastAsia"/>
          <w:b/>
          <w:kern w:val="2"/>
          <w:sz w:val="20"/>
          <w:lang w:val="en-US" w:eastAsia="zh-CN"/>
        </w:rPr>
        <w:t>Observation 11: For temporal domain Case B, there is no need to differentiate actual measurement results and predicted measurement results; But for temporal domain Case A and frequency domain prediction, the network should be aware whether the reported results are actual results or predicted results.</w:t>
      </w:r>
    </w:p>
    <w:p w14:paraId="235FEC4C" w14:textId="77777777" w:rsidR="00E659F9" w:rsidRPr="00E659F9" w:rsidRDefault="00E659F9" w:rsidP="00E659F9">
      <w:pPr>
        <w:pStyle w:val="afd"/>
        <w:shd w:val="clear" w:color="auto" w:fill="FFFFFF"/>
        <w:rPr>
          <w:rFonts w:eastAsiaTheme="minorEastAsia"/>
          <w:b/>
          <w:kern w:val="2"/>
          <w:sz w:val="20"/>
          <w:lang w:val="en-US" w:eastAsia="zh-CN"/>
        </w:rPr>
      </w:pPr>
      <w:r w:rsidRPr="00E659F9">
        <w:rPr>
          <w:rFonts w:eastAsiaTheme="minorEastAsia"/>
          <w:b/>
          <w:kern w:val="2"/>
          <w:sz w:val="20"/>
          <w:lang w:val="en-US" w:eastAsia="zh-CN"/>
        </w:rPr>
        <w:t>Observation 12: In the AI-</w:t>
      </w:r>
      <w:proofErr w:type="spellStart"/>
      <w:r w:rsidRPr="00E659F9">
        <w:rPr>
          <w:rFonts w:eastAsiaTheme="minorEastAsia"/>
          <w:b/>
          <w:kern w:val="2"/>
          <w:sz w:val="20"/>
          <w:lang w:val="en-US" w:eastAsia="zh-CN"/>
        </w:rPr>
        <w:t>phy</w:t>
      </w:r>
      <w:proofErr w:type="spellEnd"/>
      <w:r w:rsidRPr="00E659F9">
        <w:rPr>
          <w:rFonts w:eastAsiaTheme="minorEastAsia"/>
          <w:b/>
          <w:kern w:val="2"/>
          <w:sz w:val="20"/>
          <w:lang w:val="en-US" w:eastAsia="zh-CN"/>
        </w:rPr>
        <w:t xml:space="preserve"> BM-Case 2, the monitoring metric are calculated for different predicted points within PW, separately.</w:t>
      </w:r>
    </w:p>
    <w:p w14:paraId="31F8F7F3" w14:textId="77777777" w:rsidR="00E659F9" w:rsidRPr="00E659F9" w:rsidRDefault="00E659F9" w:rsidP="00E659F9">
      <w:pPr>
        <w:pStyle w:val="afd"/>
        <w:shd w:val="clear" w:color="auto" w:fill="FFFFFF"/>
        <w:rPr>
          <w:rFonts w:eastAsiaTheme="minorEastAsia"/>
          <w:b/>
          <w:kern w:val="2"/>
          <w:sz w:val="20"/>
          <w:lang w:val="en-US" w:eastAsia="zh-CN"/>
        </w:rPr>
      </w:pPr>
      <w:r w:rsidRPr="00E659F9">
        <w:rPr>
          <w:rFonts w:eastAsiaTheme="minorEastAsia"/>
          <w:b/>
          <w:kern w:val="2"/>
          <w:sz w:val="20"/>
          <w:lang w:val="en-US" w:eastAsia="zh-CN"/>
        </w:rPr>
        <w:t xml:space="preserve">Observation 13: For temporal domain prediction, averaging the prediction errors of all results within the PW to calculate the 'RSRP difference' may lead to a loss of information, because the bad prediction performance of latter part </w:t>
      </w:r>
      <w:proofErr w:type="gramStart"/>
      <w:r w:rsidRPr="00E659F9">
        <w:rPr>
          <w:rFonts w:eastAsiaTheme="minorEastAsia"/>
          <w:b/>
          <w:kern w:val="2"/>
          <w:sz w:val="20"/>
          <w:lang w:val="en-US" w:eastAsia="zh-CN"/>
        </w:rPr>
        <w:t>are</w:t>
      </w:r>
      <w:proofErr w:type="gramEnd"/>
      <w:r w:rsidRPr="00E659F9">
        <w:rPr>
          <w:rFonts w:eastAsiaTheme="minorEastAsia"/>
          <w:b/>
          <w:kern w:val="2"/>
          <w:sz w:val="20"/>
          <w:lang w:val="en-US" w:eastAsia="zh-CN"/>
        </w:rPr>
        <w:t xml:space="preserve"> averaged.</w:t>
      </w:r>
    </w:p>
    <w:p w14:paraId="6E80D2E5" w14:textId="374D0509" w:rsidR="00E659F9" w:rsidRDefault="00E659F9" w:rsidP="00E659F9">
      <w:pPr>
        <w:pStyle w:val="afd"/>
        <w:shd w:val="clear" w:color="auto" w:fill="FFFFFF"/>
        <w:spacing w:before="0" w:beforeAutospacing="0" w:after="120" w:afterAutospacing="0"/>
        <w:rPr>
          <w:rFonts w:eastAsiaTheme="minorEastAsia"/>
          <w:b/>
          <w:kern w:val="2"/>
          <w:sz w:val="20"/>
          <w:lang w:val="en-US" w:eastAsia="zh-CN"/>
        </w:rPr>
      </w:pPr>
      <w:r w:rsidRPr="00E659F9">
        <w:rPr>
          <w:rFonts w:eastAsiaTheme="minorEastAsia"/>
          <w:b/>
          <w:kern w:val="2"/>
          <w:sz w:val="20"/>
          <w:lang w:val="en-US" w:eastAsia="zh-CN"/>
        </w:rPr>
        <w:t>Observation 14: The UE reports cell results and beam results with top quality to the network, the prediction error on the cells/beams not included in the measurement report will not impact system performance.</w:t>
      </w:r>
    </w:p>
    <w:p w14:paraId="0D30C710" w14:textId="23516B1C" w:rsidR="00E659F9" w:rsidRDefault="00E659F9">
      <w:pPr>
        <w:pStyle w:val="afd"/>
        <w:shd w:val="clear" w:color="auto" w:fill="FFFFFF"/>
        <w:spacing w:before="0" w:beforeAutospacing="0" w:after="120" w:afterAutospacing="0"/>
        <w:rPr>
          <w:rFonts w:eastAsiaTheme="minorEastAsia"/>
          <w:b/>
          <w:kern w:val="2"/>
          <w:sz w:val="20"/>
          <w:lang w:val="en-US" w:eastAsia="zh-CN"/>
        </w:rPr>
      </w:pPr>
    </w:p>
    <w:p w14:paraId="03576DE2" w14:textId="3AEA4B14" w:rsidR="008F4BE8" w:rsidRPr="008F4BE8" w:rsidRDefault="008F4BE8">
      <w:pPr>
        <w:pStyle w:val="afd"/>
        <w:shd w:val="clear" w:color="auto" w:fill="FFFFFF"/>
        <w:spacing w:before="0" w:beforeAutospacing="0" w:after="120" w:afterAutospacing="0"/>
        <w:rPr>
          <w:rFonts w:eastAsiaTheme="minorEastAsia"/>
          <w:b/>
          <w:i/>
          <w:kern w:val="2"/>
          <w:sz w:val="20"/>
          <w:u w:val="single"/>
          <w:lang w:val="en-US" w:eastAsia="zh-CN"/>
        </w:rPr>
      </w:pPr>
      <w:r w:rsidRPr="008F4BE8">
        <w:rPr>
          <w:rFonts w:eastAsiaTheme="minorEastAsia" w:hint="eastAsia"/>
          <w:b/>
          <w:i/>
          <w:kern w:val="2"/>
          <w:sz w:val="20"/>
          <w:u w:val="single"/>
          <w:lang w:val="en-US" w:eastAsia="zh-CN"/>
        </w:rPr>
        <w:t>F</w:t>
      </w:r>
      <w:r w:rsidRPr="008F4BE8">
        <w:rPr>
          <w:rFonts w:eastAsiaTheme="minorEastAsia"/>
          <w:b/>
          <w:i/>
          <w:kern w:val="2"/>
          <w:sz w:val="20"/>
          <w:u w:val="single"/>
          <w:lang w:val="en-US" w:eastAsia="zh-CN"/>
        </w:rPr>
        <w:t>or applicability reporting:</w:t>
      </w:r>
    </w:p>
    <w:p w14:paraId="425C7FBB" w14:textId="77777777" w:rsidR="008F4BE8" w:rsidRPr="008F4BE8" w:rsidRDefault="008F4BE8" w:rsidP="008F4BE8">
      <w:pPr>
        <w:ind w:left="1132" w:hangingChars="564" w:hanging="1132"/>
        <w:rPr>
          <w:b/>
        </w:rPr>
      </w:pPr>
      <w:r w:rsidRPr="008F4BE8">
        <w:rPr>
          <w:b/>
        </w:rPr>
        <w:t>Proposal 1</w:t>
      </w:r>
      <w:r w:rsidRPr="008F4BE8">
        <w:rPr>
          <w:b/>
        </w:rPr>
        <w:tab/>
        <w:t xml:space="preserve"> For Option A, the existing RRM framework is reused to provide the full inference configuration to the UE. The frequency indicated by </w:t>
      </w:r>
      <w:proofErr w:type="spellStart"/>
      <w:r w:rsidRPr="008F4BE8">
        <w:rPr>
          <w:b/>
          <w:i/>
        </w:rPr>
        <w:t>MeasObjectNR</w:t>
      </w:r>
      <w:proofErr w:type="spellEnd"/>
      <w:r w:rsidRPr="008F4BE8">
        <w:rPr>
          <w:b/>
        </w:rPr>
        <w:t xml:space="preserve"> is the frequency that UE should perform prediction on.</w:t>
      </w:r>
    </w:p>
    <w:p w14:paraId="719CF86E" w14:textId="77777777" w:rsidR="008F4BE8" w:rsidRPr="008F4BE8" w:rsidRDefault="008F4BE8" w:rsidP="008F4BE8">
      <w:pPr>
        <w:ind w:left="1132" w:hangingChars="564" w:hanging="1132"/>
        <w:rPr>
          <w:b/>
        </w:rPr>
      </w:pPr>
      <w:r w:rsidRPr="008F4BE8">
        <w:rPr>
          <w:b/>
        </w:rPr>
        <w:t>Proposal 2</w:t>
      </w:r>
      <w:r w:rsidRPr="008F4BE8">
        <w:rPr>
          <w:b/>
        </w:rPr>
        <w:tab/>
        <w:t xml:space="preserve">Upon receiving a list of full inference configuration, the UE determines the applicability per </w:t>
      </w:r>
      <w:proofErr w:type="spellStart"/>
      <w:r w:rsidRPr="008F4BE8">
        <w:rPr>
          <w:b/>
        </w:rPr>
        <w:t>measId</w:t>
      </w:r>
      <w:proofErr w:type="spellEnd"/>
      <w:r w:rsidRPr="008F4BE8">
        <w:rPr>
          <w:b/>
        </w:rPr>
        <w:t xml:space="preserve"> and sends applicability report to the network via </w:t>
      </w:r>
      <w:proofErr w:type="spellStart"/>
      <w:r w:rsidRPr="008F4BE8">
        <w:rPr>
          <w:b/>
        </w:rPr>
        <w:t>RRCReconfigurationComplete</w:t>
      </w:r>
      <w:proofErr w:type="spellEnd"/>
      <w:r w:rsidRPr="008F4BE8">
        <w:rPr>
          <w:b/>
        </w:rPr>
        <w:t xml:space="preserve"> or UAI.</w:t>
      </w:r>
    </w:p>
    <w:p w14:paraId="2DF38973" w14:textId="77777777" w:rsidR="008F4BE8" w:rsidRPr="008F4BE8" w:rsidRDefault="008F4BE8" w:rsidP="008F4BE8">
      <w:pPr>
        <w:ind w:left="1132" w:hangingChars="564" w:hanging="1132"/>
        <w:rPr>
          <w:b/>
        </w:rPr>
      </w:pPr>
      <w:r w:rsidRPr="008F4BE8">
        <w:rPr>
          <w:b/>
        </w:rPr>
        <w:t>Proposal 3</w:t>
      </w:r>
      <w:r w:rsidRPr="008F4BE8">
        <w:rPr>
          <w:b/>
        </w:rPr>
        <w:tab/>
        <w:t>For Option A, the applicability report includes the following information:</w:t>
      </w:r>
    </w:p>
    <w:p w14:paraId="72ECD36C" w14:textId="77777777" w:rsidR="008F4BE8" w:rsidRPr="008F4BE8" w:rsidRDefault="008F4BE8" w:rsidP="008F4BE8">
      <w:pPr>
        <w:numPr>
          <w:ilvl w:val="0"/>
          <w:numId w:val="26"/>
        </w:numPr>
        <w:rPr>
          <w:b/>
        </w:rPr>
      </w:pPr>
      <w:r w:rsidRPr="008F4BE8">
        <w:rPr>
          <w:b/>
        </w:rPr>
        <w:t xml:space="preserve">One or more </w:t>
      </w:r>
      <w:proofErr w:type="spellStart"/>
      <w:r w:rsidRPr="008F4BE8">
        <w:rPr>
          <w:b/>
        </w:rPr>
        <w:t>measIDs</w:t>
      </w:r>
      <w:proofErr w:type="spellEnd"/>
      <w:r w:rsidRPr="008F4BE8">
        <w:rPr>
          <w:b/>
        </w:rPr>
        <w:t xml:space="preserve"> that are applicable;</w:t>
      </w:r>
    </w:p>
    <w:p w14:paraId="0277BD7D" w14:textId="77777777" w:rsidR="008F4BE8" w:rsidRPr="008F4BE8" w:rsidRDefault="008F4BE8" w:rsidP="008F4BE8">
      <w:pPr>
        <w:numPr>
          <w:ilvl w:val="0"/>
          <w:numId w:val="26"/>
        </w:numPr>
        <w:rPr>
          <w:b/>
        </w:rPr>
      </w:pPr>
      <w:r w:rsidRPr="008F4BE8">
        <w:rPr>
          <w:b/>
        </w:rPr>
        <w:t xml:space="preserve">One or more </w:t>
      </w:r>
      <w:proofErr w:type="spellStart"/>
      <w:r w:rsidRPr="008F4BE8">
        <w:rPr>
          <w:b/>
        </w:rPr>
        <w:t>measIDs</w:t>
      </w:r>
      <w:proofErr w:type="spellEnd"/>
      <w:r w:rsidRPr="008F4BE8">
        <w:rPr>
          <w:b/>
        </w:rPr>
        <w:t xml:space="preserve"> that are inapplicable and corresponding cause value; </w:t>
      </w:r>
    </w:p>
    <w:p w14:paraId="7B3A9CF6" w14:textId="77777777" w:rsidR="008F4BE8" w:rsidRPr="008F4BE8" w:rsidRDefault="008F4BE8" w:rsidP="008F4BE8">
      <w:pPr>
        <w:ind w:left="1132" w:hangingChars="564" w:hanging="1132"/>
        <w:rPr>
          <w:b/>
        </w:rPr>
      </w:pPr>
      <w:r w:rsidRPr="008F4BE8">
        <w:rPr>
          <w:b/>
        </w:rPr>
        <w:t>Proposal 4</w:t>
      </w:r>
      <w:r w:rsidRPr="008F4BE8">
        <w:rPr>
          <w:b/>
        </w:rPr>
        <w:tab/>
        <w:t xml:space="preserve">For Option A, the inference parameters (e.g. PW length, skipping pattern, measured frequency) are defined in </w:t>
      </w:r>
      <w:proofErr w:type="spellStart"/>
      <w:r w:rsidRPr="008F4BE8">
        <w:rPr>
          <w:b/>
          <w:i/>
        </w:rPr>
        <w:t>ReportConfigNR</w:t>
      </w:r>
      <w:proofErr w:type="spellEnd"/>
      <w:r w:rsidRPr="008F4BE8">
        <w:rPr>
          <w:b/>
        </w:rPr>
        <w:t>.</w:t>
      </w:r>
    </w:p>
    <w:p w14:paraId="12A4830E" w14:textId="77777777" w:rsidR="008F4BE8" w:rsidRPr="008F4BE8" w:rsidRDefault="008F4BE8" w:rsidP="008F4BE8">
      <w:pPr>
        <w:ind w:left="1132" w:hangingChars="564" w:hanging="1132"/>
        <w:rPr>
          <w:b/>
        </w:rPr>
      </w:pPr>
      <w:r w:rsidRPr="008F4BE8">
        <w:rPr>
          <w:b/>
        </w:rPr>
        <w:t>Proposal 5</w:t>
      </w:r>
      <w:r w:rsidRPr="008F4BE8">
        <w:rPr>
          <w:b/>
        </w:rPr>
        <w:tab/>
        <w:t xml:space="preserve">The same inference configuration can be used to indicate L3 cell level prediction or L3 beam level prediction or both, e.g. the existing </w:t>
      </w:r>
      <w:proofErr w:type="spellStart"/>
      <w:r w:rsidRPr="008F4BE8">
        <w:rPr>
          <w:b/>
          <w:i/>
        </w:rPr>
        <w:t>reportQuantityRS</w:t>
      </w:r>
      <w:proofErr w:type="spellEnd"/>
      <w:r w:rsidRPr="008F4BE8">
        <w:rPr>
          <w:b/>
          <w:i/>
        </w:rPr>
        <w:t>-Indexes</w:t>
      </w:r>
      <w:r w:rsidRPr="008F4BE8">
        <w:rPr>
          <w:b/>
        </w:rPr>
        <w:t xml:space="preserve"> and </w:t>
      </w:r>
      <w:proofErr w:type="spellStart"/>
      <w:r w:rsidRPr="008F4BE8">
        <w:rPr>
          <w:b/>
          <w:i/>
        </w:rPr>
        <w:t>maxNrofRS-IndexesToReport</w:t>
      </w:r>
      <w:proofErr w:type="spellEnd"/>
      <w:r w:rsidRPr="008F4BE8">
        <w:rPr>
          <w:b/>
        </w:rPr>
        <w:t xml:space="preserve"> IEs can be reused to indicate whether the UE shall perform L3 beam level prediction in addition to L3 cell level prediction.</w:t>
      </w:r>
    </w:p>
    <w:p w14:paraId="4C4462F6" w14:textId="77777777" w:rsidR="008F4BE8" w:rsidRPr="008F4BE8" w:rsidRDefault="008F4BE8" w:rsidP="008F4BE8">
      <w:pPr>
        <w:ind w:left="1132" w:hangingChars="564" w:hanging="1132"/>
        <w:rPr>
          <w:b/>
        </w:rPr>
      </w:pPr>
      <w:r w:rsidRPr="008F4BE8">
        <w:rPr>
          <w:b/>
        </w:rPr>
        <w:lastRenderedPageBreak/>
        <w:t>Proposal 6</w:t>
      </w:r>
      <w:r w:rsidRPr="008F4BE8">
        <w:rPr>
          <w:b/>
        </w:rPr>
        <w:tab/>
        <w:t>For Option B, the network provides multiple sets of inference parameters to the UE via</w:t>
      </w:r>
      <w:r w:rsidRPr="008F4BE8">
        <w:rPr>
          <w:b/>
          <w:i/>
        </w:rPr>
        <w:t xml:space="preserve"> </w:t>
      </w:r>
      <w:proofErr w:type="spellStart"/>
      <w:r w:rsidRPr="008F4BE8">
        <w:rPr>
          <w:b/>
          <w:i/>
        </w:rPr>
        <w:t>otherConfig</w:t>
      </w:r>
      <w:proofErr w:type="spellEnd"/>
      <w:r w:rsidRPr="008F4BE8">
        <w:rPr>
          <w:b/>
        </w:rPr>
        <w:t xml:space="preserve">. Each set of inference parameters is associated with one set ID. </w:t>
      </w:r>
    </w:p>
    <w:p w14:paraId="76955E04" w14:textId="77777777" w:rsidR="008F4BE8" w:rsidRPr="008F4BE8" w:rsidRDefault="008F4BE8" w:rsidP="008F4BE8">
      <w:pPr>
        <w:ind w:left="1132" w:hangingChars="564" w:hanging="1132"/>
        <w:rPr>
          <w:b/>
        </w:rPr>
      </w:pPr>
      <w:r w:rsidRPr="008F4BE8">
        <w:rPr>
          <w:b/>
        </w:rPr>
        <w:t>Proposal 7</w:t>
      </w:r>
      <w:r w:rsidRPr="008F4BE8">
        <w:rPr>
          <w:b/>
        </w:rPr>
        <w:tab/>
        <w:t xml:space="preserve">Upon receiving the multiple sets of inference parameters, the UE determines the applicability per set, and sends applicability report to the network via </w:t>
      </w:r>
      <w:proofErr w:type="spellStart"/>
      <w:r w:rsidRPr="008F4BE8">
        <w:rPr>
          <w:b/>
        </w:rPr>
        <w:t>RRCReconfigurationComplete</w:t>
      </w:r>
      <w:proofErr w:type="spellEnd"/>
      <w:r w:rsidRPr="008F4BE8">
        <w:rPr>
          <w:b/>
        </w:rPr>
        <w:t xml:space="preserve"> or UAI. </w:t>
      </w:r>
    </w:p>
    <w:p w14:paraId="5B44B9CF" w14:textId="77777777" w:rsidR="008F4BE8" w:rsidRPr="008F4BE8" w:rsidRDefault="008F4BE8" w:rsidP="008F4BE8">
      <w:pPr>
        <w:ind w:left="1132" w:hangingChars="564" w:hanging="1132"/>
        <w:rPr>
          <w:b/>
        </w:rPr>
      </w:pPr>
      <w:r w:rsidRPr="008F4BE8">
        <w:rPr>
          <w:b/>
        </w:rPr>
        <w:t>Proposal 8</w:t>
      </w:r>
      <w:r w:rsidRPr="008F4BE8">
        <w:rPr>
          <w:b/>
        </w:rPr>
        <w:tab/>
        <w:t>For Option B, the applicability report includes the following information:</w:t>
      </w:r>
    </w:p>
    <w:p w14:paraId="76992BDD" w14:textId="77777777" w:rsidR="008F4BE8" w:rsidRPr="008F4BE8" w:rsidRDefault="008F4BE8" w:rsidP="008F4BE8">
      <w:pPr>
        <w:numPr>
          <w:ilvl w:val="0"/>
          <w:numId w:val="26"/>
        </w:numPr>
        <w:rPr>
          <w:b/>
        </w:rPr>
      </w:pPr>
      <w:r w:rsidRPr="008F4BE8">
        <w:rPr>
          <w:b/>
        </w:rPr>
        <w:t>One or more set IDs that are applicable;</w:t>
      </w:r>
    </w:p>
    <w:p w14:paraId="6D34AC2D" w14:textId="77777777" w:rsidR="008F4BE8" w:rsidRPr="008F4BE8" w:rsidRDefault="008F4BE8" w:rsidP="008F4BE8">
      <w:pPr>
        <w:numPr>
          <w:ilvl w:val="0"/>
          <w:numId w:val="26"/>
        </w:numPr>
        <w:rPr>
          <w:b/>
        </w:rPr>
      </w:pPr>
      <w:r w:rsidRPr="008F4BE8">
        <w:rPr>
          <w:rFonts w:hint="eastAsia"/>
          <w:b/>
        </w:rPr>
        <w:t>O</w:t>
      </w:r>
      <w:r w:rsidRPr="008F4BE8">
        <w:rPr>
          <w:b/>
        </w:rPr>
        <w:t xml:space="preserve">ne or more set IDs that are inapplicable and corresponding cause value; </w:t>
      </w:r>
    </w:p>
    <w:p w14:paraId="53DC1059" w14:textId="77777777" w:rsidR="008F4BE8" w:rsidRPr="008F4BE8" w:rsidRDefault="008F4BE8" w:rsidP="008F4BE8">
      <w:pPr>
        <w:ind w:left="1132" w:hangingChars="564" w:hanging="1132"/>
        <w:rPr>
          <w:b/>
        </w:rPr>
      </w:pPr>
      <w:r w:rsidRPr="008F4BE8">
        <w:rPr>
          <w:b/>
        </w:rPr>
        <w:t>Proposal 9</w:t>
      </w:r>
      <w:r w:rsidRPr="008F4BE8">
        <w:rPr>
          <w:b/>
        </w:rPr>
        <w:tab/>
        <w:t>For Option B, each set of inference parameters include:</w:t>
      </w:r>
    </w:p>
    <w:p w14:paraId="3C6C1813" w14:textId="77777777" w:rsidR="008F4BE8" w:rsidRPr="008F4BE8" w:rsidRDefault="008F4BE8" w:rsidP="008F4BE8">
      <w:pPr>
        <w:numPr>
          <w:ilvl w:val="0"/>
          <w:numId w:val="27"/>
        </w:numPr>
        <w:rPr>
          <w:b/>
        </w:rPr>
      </w:pPr>
      <w:r w:rsidRPr="008F4BE8">
        <w:rPr>
          <w:rFonts w:hint="eastAsia"/>
          <w:b/>
        </w:rPr>
        <w:t>S</w:t>
      </w:r>
      <w:r w:rsidRPr="008F4BE8">
        <w:rPr>
          <w:b/>
        </w:rPr>
        <w:t>et ID;</w:t>
      </w:r>
    </w:p>
    <w:p w14:paraId="19E46067" w14:textId="77777777" w:rsidR="008F4BE8" w:rsidRPr="008F4BE8" w:rsidRDefault="008F4BE8" w:rsidP="008F4BE8">
      <w:pPr>
        <w:numPr>
          <w:ilvl w:val="0"/>
          <w:numId w:val="27"/>
        </w:numPr>
        <w:rPr>
          <w:b/>
        </w:rPr>
      </w:pPr>
      <w:proofErr w:type="spellStart"/>
      <w:r w:rsidRPr="008F4BE8">
        <w:rPr>
          <w:rFonts w:hint="eastAsia"/>
          <w:b/>
        </w:rPr>
        <w:t>M</w:t>
      </w:r>
      <w:r w:rsidRPr="008F4BE8">
        <w:rPr>
          <w:b/>
        </w:rPr>
        <w:t>easObjectID</w:t>
      </w:r>
      <w:proofErr w:type="spellEnd"/>
      <w:r w:rsidRPr="008F4BE8">
        <w:rPr>
          <w:b/>
        </w:rPr>
        <w:t>;</w:t>
      </w:r>
    </w:p>
    <w:p w14:paraId="69531E8A" w14:textId="56FD6EED" w:rsidR="008F4BE8" w:rsidRDefault="008F4BE8" w:rsidP="008F4BE8">
      <w:pPr>
        <w:numPr>
          <w:ilvl w:val="0"/>
          <w:numId w:val="27"/>
        </w:numPr>
        <w:rPr>
          <w:b/>
        </w:rPr>
      </w:pPr>
      <w:r w:rsidRPr="008F4BE8">
        <w:rPr>
          <w:b/>
        </w:rPr>
        <w:t>Prediction related parameters, e.g. PW length, skipping pattern, measured frequency.</w:t>
      </w:r>
    </w:p>
    <w:p w14:paraId="53955EBA" w14:textId="592ECEE9" w:rsidR="008F4BE8" w:rsidRPr="008F4BE8" w:rsidRDefault="008F4BE8" w:rsidP="008F4BE8">
      <w:pPr>
        <w:rPr>
          <w:b/>
          <w:i/>
          <w:u w:val="single"/>
        </w:rPr>
      </w:pPr>
      <w:r w:rsidRPr="00C91DE9">
        <w:rPr>
          <w:b/>
          <w:i/>
          <w:u w:val="single"/>
        </w:rPr>
        <w:t>For when to perform model inference</w:t>
      </w:r>
    </w:p>
    <w:p w14:paraId="667E8554" w14:textId="77777777" w:rsidR="008F4BE8" w:rsidRPr="008F4BE8" w:rsidRDefault="008F4BE8" w:rsidP="008F4BE8">
      <w:pPr>
        <w:ind w:left="1132" w:hangingChars="564" w:hanging="1132"/>
        <w:rPr>
          <w:b/>
        </w:rPr>
      </w:pPr>
      <w:r w:rsidRPr="008F4BE8">
        <w:rPr>
          <w:b/>
        </w:rPr>
        <w:t>Proposal 10 For temporal domain Case B and frequency domain prediction, the UE performs model inference immediately after receiving the full inference configuration.</w:t>
      </w:r>
    </w:p>
    <w:p w14:paraId="1ECDCCE5" w14:textId="77777777" w:rsidR="008F4BE8" w:rsidRPr="008F4BE8" w:rsidRDefault="008F4BE8" w:rsidP="008F4BE8">
      <w:pPr>
        <w:ind w:left="1132" w:hangingChars="564" w:hanging="1132"/>
        <w:rPr>
          <w:b/>
        </w:rPr>
      </w:pPr>
      <w:r w:rsidRPr="008F4BE8">
        <w:rPr>
          <w:b/>
        </w:rPr>
        <w:t>Proposal 11: For temporal domain prediction case A, RAN2 to discuss and select one of the following solutions:</w:t>
      </w:r>
    </w:p>
    <w:p w14:paraId="583A3DD0" w14:textId="77777777" w:rsidR="008F4BE8" w:rsidRPr="008F4BE8" w:rsidRDefault="008F4BE8" w:rsidP="008F4BE8">
      <w:pPr>
        <w:ind w:left="520" w:firstLine="320"/>
        <w:rPr>
          <w:rFonts w:eastAsia="宋体"/>
          <w:b/>
          <w:kern w:val="0"/>
          <w:szCs w:val="20"/>
        </w:rPr>
      </w:pPr>
      <w:r w:rsidRPr="008F4BE8">
        <w:rPr>
          <w:rFonts w:eastAsia="宋体" w:hint="eastAsia"/>
          <w:b/>
          <w:kern w:val="0"/>
          <w:szCs w:val="20"/>
        </w:rPr>
        <w:t>•</w:t>
      </w:r>
      <w:r w:rsidRPr="008F4BE8">
        <w:rPr>
          <w:rFonts w:eastAsia="宋体"/>
          <w:b/>
          <w:kern w:val="0"/>
          <w:szCs w:val="20"/>
        </w:rPr>
        <w:tab/>
        <w:t>Solution 1: Model inference is performed upon the reception of the full inference configuration;</w:t>
      </w:r>
    </w:p>
    <w:p w14:paraId="4D623F7C" w14:textId="7123EFEB" w:rsidR="008F4BE8" w:rsidRDefault="008F4BE8" w:rsidP="008F4BE8">
      <w:pPr>
        <w:spacing w:beforeLines="50" w:before="156"/>
        <w:ind w:left="520" w:firstLine="320"/>
        <w:rPr>
          <w:rFonts w:eastAsia="宋体"/>
          <w:b/>
          <w:kern w:val="0"/>
          <w:szCs w:val="20"/>
        </w:rPr>
      </w:pPr>
      <w:r w:rsidRPr="008F4BE8">
        <w:rPr>
          <w:rFonts w:eastAsia="宋体" w:hint="eastAsia"/>
          <w:b/>
          <w:kern w:val="0"/>
          <w:szCs w:val="20"/>
        </w:rPr>
        <w:t>•</w:t>
      </w:r>
      <w:r w:rsidRPr="008F4BE8">
        <w:rPr>
          <w:rFonts w:eastAsia="宋体"/>
          <w:b/>
          <w:kern w:val="0"/>
          <w:szCs w:val="20"/>
        </w:rPr>
        <w:tab/>
        <w:t>Solution 2: Model inference is performed when a pre-configured condition is met (e.g. s-Measure or A3 event).</w:t>
      </w:r>
    </w:p>
    <w:p w14:paraId="0AB7F4EC" w14:textId="24E04BE5" w:rsidR="005A5AB4" w:rsidRPr="008F4BE8" w:rsidRDefault="005A5AB4" w:rsidP="005A5AB4">
      <w:pPr>
        <w:spacing w:beforeLines="50" w:before="156"/>
        <w:rPr>
          <w:b/>
          <w:i/>
          <w:u w:val="single"/>
        </w:rPr>
      </w:pPr>
      <w:r w:rsidRPr="005A5AB4">
        <w:rPr>
          <w:b/>
          <w:i/>
          <w:u w:val="single"/>
        </w:rPr>
        <w:t>For inference report</w:t>
      </w:r>
    </w:p>
    <w:p w14:paraId="4D2A599A" w14:textId="77777777" w:rsidR="008F4BE8" w:rsidRPr="008F4BE8" w:rsidRDefault="008F4BE8" w:rsidP="008F4BE8">
      <w:pPr>
        <w:ind w:left="1132" w:hangingChars="564" w:hanging="1132"/>
        <w:rPr>
          <w:b/>
        </w:rPr>
      </w:pPr>
      <w:r w:rsidRPr="008F4BE8">
        <w:rPr>
          <w:b/>
        </w:rPr>
        <w:t>Proposal 12</w:t>
      </w:r>
      <w:r w:rsidRPr="008F4BE8">
        <w:rPr>
          <w:b/>
        </w:rPr>
        <w:tab/>
        <w:t xml:space="preserve">For AI-Mobility, to reuse </w:t>
      </w:r>
      <w:proofErr w:type="spellStart"/>
      <w:r w:rsidRPr="008F4BE8">
        <w:rPr>
          <w:b/>
          <w:i/>
        </w:rPr>
        <w:t>MeasurementReport</w:t>
      </w:r>
      <w:proofErr w:type="spellEnd"/>
      <w:r w:rsidRPr="008F4BE8">
        <w:rPr>
          <w:b/>
        </w:rPr>
        <w:t xml:space="preserve"> message for inference results reporting. and the UE follows the configuration in </w:t>
      </w:r>
      <w:proofErr w:type="spellStart"/>
      <w:r w:rsidRPr="008F4BE8">
        <w:rPr>
          <w:b/>
          <w:i/>
        </w:rPr>
        <w:t>reportConfigNR</w:t>
      </w:r>
      <w:proofErr w:type="spellEnd"/>
      <w:r w:rsidRPr="008F4BE8">
        <w:rPr>
          <w:b/>
        </w:rPr>
        <w:t xml:space="preserve"> for inference results reporting (e.g. </w:t>
      </w:r>
      <w:proofErr w:type="spellStart"/>
      <w:r w:rsidRPr="008F4BE8">
        <w:rPr>
          <w:b/>
          <w:i/>
        </w:rPr>
        <w:t>reportInterval</w:t>
      </w:r>
      <w:proofErr w:type="spellEnd"/>
      <w:r w:rsidRPr="008F4BE8">
        <w:rPr>
          <w:b/>
        </w:rPr>
        <w:t xml:space="preserve">, </w:t>
      </w:r>
      <w:proofErr w:type="spellStart"/>
      <w:r w:rsidRPr="008F4BE8">
        <w:rPr>
          <w:b/>
          <w:i/>
        </w:rPr>
        <w:t>reportAmount</w:t>
      </w:r>
      <w:proofErr w:type="spellEnd"/>
      <w:r w:rsidRPr="008F4BE8">
        <w:rPr>
          <w:b/>
        </w:rPr>
        <w:t xml:space="preserve">, </w:t>
      </w:r>
      <w:proofErr w:type="spellStart"/>
      <w:r w:rsidRPr="008F4BE8">
        <w:rPr>
          <w:b/>
          <w:i/>
        </w:rPr>
        <w:t>maxReportCells</w:t>
      </w:r>
      <w:proofErr w:type="spellEnd"/>
      <w:r w:rsidRPr="008F4BE8">
        <w:rPr>
          <w:b/>
        </w:rPr>
        <w:t xml:space="preserve">, </w:t>
      </w:r>
      <w:proofErr w:type="spellStart"/>
      <w:r w:rsidRPr="008F4BE8">
        <w:rPr>
          <w:b/>
          <w:i/>
        </w:rPr>
        <w:t>reportQuantityRS</w:t>
      </w:r>
      <w:proofErr w:type="spellEnd"/>
      <w:r w:rsidRPr="008F4BE8">
        <w:rPr>
          <w:b/>
          <w:i/>
        </w:rPr>
        <w:t xml:space="preserve">-Indexes, </w:t>
      </w:r>
      <w:proofErr w:type="spellStart"/>
      <w:r w:rsidRPr="008F4BE8">
        <w:rPr>
          <w:b/>
          <w:i/>
        </w:rPr>
        <w:t>etc</w:t>
      </w:r>
      <w:proofErr w:type="spellEnd"/>
      <w:r w:rsidRPr="008F4BE8">
        <w:rPr>
          <w:b/>
        </w:rPr>
        <w:t>).</w:t>
      </w:r>
    </w:p>
    <w:p w14:paraId="103509D9" w14:textId="77777777" w:rsidR="008F4BE8" w:rsidRPr="008F4BE8" w:rsidRDefault="008F4BE8" w:rsidP="008F4BE8">
      <w:pPr>
        <w:ind w:left="1132" w:hangingChars="564" w:hanging="1132"/>
        <w:rPr>
          <w:b/>
        </w:rPr>
      </w:pPr>
      <w:r w:rsidRPr="008F4BE8">
        <w:rPr>
          <w:b/>
        </w:rPr>
        <w:t>Proposal 13</w:t>
      </w:r>
      <w:r w:rsidRPr="008F4BE8">
        <w:rPr>
          <w:b/>
        </w:rPr>
        <w:tab/>
        <w:t>For temporal domain Case B, the inference report includes the latest measurement results (regardless of actual results or predicted results).</w:t>
      </w:r>
    </w:p>
    <w:p w14:paraId="476A2507" w14:textId="77777777" w:rsidR="008F4BE8" w:rsidRPr="008F4BE8" w:rsidRDefault="008F4BE8" w:rsidP="008F4BE8">
      <w:pPr>
        <w:ind w:left="1132" w:hangingChars="564" w:hanging="1132"/>
        <w:rPr>
          <w:b/>
        </w:rPr>
      </w:pPr>
      <w:r w:rsidRPr="008F4BE8">
        <w:rPr>
          <w:b/>
        </w:rPr>
        <w:t>Proposal 14</w:t>
      </w:r>
      <w:r w:rsidRPr="008F4BE8">
        <w:rPr>
          <w:b/>
        </w:rPr>
        <w:tab/>
        <w:t>For temporal domain Case A, the inference report includes the latest actual measurement results and multiple predicted results within the PW.</w:t>
      </w:r>
    </w:p>
    <w:p w14:paraId="0BC5C753" w14:textId="77777777" w:rsidR="008F4BE8" w:rsidRPr="008F4BE8" w:rsidRDefault="008F4BE8" w:rsidP="008F4BE8">
      <w:pPr>
        <w:ind w:left="1132" w:hangingChars="564" w:hanging="1132"/>
        <w:rPr>
          <w:b/>
        </w:rPr>
      </w:pPr>
      <w:r w:rsidRPr="008F4BE8">
        <w:rPr>
          <w:b/>
        </w:rPr>
        <w:t>Proposal 15</w:t>
      </w:r>
      <w:r w:rsidRPr="008F4BE8">
        <w:rPr>
          <w:b/>
        </w:rPr>
        <w:tab/>
        <w:t>For frequency domain prediction, the inference report includes the latest measurement results of the predicted cell. (No change to the existing measurement report)</w:t>
      </w:r>
    </w:p>
    <w:p w14:paraId="79810079" w14:textId="430DEB81" w:rsidR="006A4939" w:rsidRPr="006A4939" w:rsidRDefault="006A4939" w:rsidP="006A4939">
      <w:pPr>
        <w:spacing w:beforeLines="50" w:before="156"/>
        <w:rPr>
          <w:b/>
          <w:i/>
          <w:u w:val="single"/>
        </w:rPr>
      </w:pPr>
      <w:r w:rsidRPr="005A5AB4">
        <w:rPr>
          <w:b/>
          <w:i/>
          <w:u w:val="single"/>
        </w:rPr>
        <w:t xml:space="preserve">For </w:t>
      </w:r>
      <w:r>
        <w:rPr>
          <w:b/>
          <w:i/>
          <w:u w:val="single"/>
        </w:rPr>
        <w:t>performance monitoring</w:t>
      </w:r>
    </w:p>
    <w:p w14:paraId="3D7C851B" w14:textId="4923B26E" w:rsidR="008F4BE8" w:rsidRPr="008F4BE8" w:rsidRDefault="008F4BE8" w:rsidP="008F4BE8">
      <w:pPr>
        <w:widowControl/>
        <w:shd w:val="clear" w:color="auto" w:fill="FFFFFF"/>
        <w:jc w:val="left"/>
        <w:rPr>
          <w:b/>
        </w:rPr>
      </w:pPr>
      <w:r w:rsidRPr="008F4BE8">
        <w:rPr>
          <w:b/>
        </w:rPr>
        <w:t>Proposal 16: For temporal domain case A and case B, the monitoring metric is the RSRP difference for each prediction result within PW.</w:t>
      </w:r>
    </w:p>
    <w:p w14:paraId="63D75D7B" w14:textId="77777777" w:rsidR="008F4BE8" w:rsidRPr="008F4BE8" w:rsidRDefault="008F4BE8" w:rsidP="008F4BE8">
      <w:pPr>
        <w:widowControl/>
        <w:shd w:val="clear" w:color="auto" w:fill="FFFFFF"/>
        <w:spacing w:before="100" w:beforeAutospacing="1" w:after="100" w:afterAutospacing="1"/>
        <w:jc w:val="left"/>
        <w:rPr>
          <w:b/>
        </w:rPr>
      </w:pPr>
      <w:r w:rsidRPr="008F4BE8">
        <w:rPr>
          <w:b/>
        </w:rPr>
        <w:t>Proposal 17: For monitoring on cell level prediction, to monitor the prediction performance of serving cell and top-K neighbor cell.</w:t>
      </w:r>
    </w:p>
    <w:p w14:paraId="582A29A6" w14:textId="77777777" w:rsidR="008F4BE8" w:rsidRPr="008F4BE8" w:rsidRDefault="008F4BE8" w:rsidP="008F4BE8">
      <w:pPr>
        <w:widowControl/>
        <w:shd w:val="clear" w:color="auto" w:fill="FFFFFF"/>
        <w:jc w:val="left"/>
        <w:rPr>
          <w:b/>
        </w:rPr>
      </w:pPr>
      <w:r w:rsidRPr="008F4BE8">
        <w:rPr>
          <w:b/>
        </w:rPr>
        <w:t>Proposal 18: For monitoring on beam level prediction, to monitor the prediction performance of top-M beam for each monitored cell.</w:t>
      </w:r>
    </w:p>
    <w:p w14:paraId="6D22A259" w14:textId="77777777" w:rsidR="004123CB" w:rsidRPr="008F4BE8" w:rsidRDefault="004123CB">
      <w:pPr>
        <w:pStyle w:val="afd"/>
        <w:shd w:val="clear" w:color="auto" w:fill="FFFFFF"/>
        <w:spacing w:before="0" w:beforeAutospacing="0" w:after="120" w:afterAutospacing="0"/>
        <w:rPr>
          <w:rFonts w:eastAsiaTheme="minorEastAsia"/>
          <w:kern w:val="2"/>
          <w:sz w:val="20"/>
          <w:lang w:val="en-US" w:eastAsia="zh-CN"/>
        </w:rPr>
      </w:pP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07262051" w:rsidR="004463DD" w:rsidRDefault="00B84AAF" w:rsidP="001E083C">
      <w:pPr>
        <w:numPr>
          <w:ilvl w:val="0"/>
          <w:numId w:val="5"/>
        </w:numPr>
        <w:tabs>
          <w:tab w:val="left" w:pos="312"/>
        </w:tabs>
        <w:rPr>
          <w:szCs w:val="32"/>
        </w:rPr>
      </w:pPr>
      <w:r>
        <w:rPr>
          <w:rFonts w:eastAsia="Microsoft YaHei UI"/>
          <w:color w:val="000000"/>
        </w:rPr>
        <w:t>Report</w:t>
      </w:r>
      <w:r w:rsidR="0074099C">
        <w:rPr>
          <w:rFonts w:eastAsia="Microsoft YaHei UI"/>
          <w:color w:val="000000"/>
        </w:rPr>
        <w:t xml:space="preserve"> of RAN2 12</w:t>
      </w:r>
      <w:r w:rsidR="008839C5">
        <w:rPr>
          <w:rFonts w:eastAsia="Microsoft YaHei UI"/>
          <w:color w:val="000000"/>
        </w:rPr>
        <w:t>9</w:t>
      </w:r>
      <w:r w:rsidR="0074099C">
        <w:rPr>
          <w:rFonts w:eastAsia="Microsoft YaHei UI"/>
          <w:color w:val="000000"/>
        </w:rPr>
        <w:t xml:space="preserve"> meeting.</w:t>
      </w:r>
    </w:p>
    <w:sectPr w:rsidR="004463DD" w:rsidSect="0005323E">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99595" w14:textId="77777777" w:rsidR="0029579E" w:rsidRDefault="0029579E">
      <w:pPr>
        <w:spacing w:after="0"/>
      </w:pPr>
      <w:r>
        <w:separator/>
      </w:r>
    </w:p>
  </w:endnote>
  <w:endnote w:type="continuationSeparator" w:id="0">
    <w:p w14:paraId="4A147D55" w14:textId="77777777" w:rsidR="0029579E" w:rsidRDefault="002957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E73DDF" w:rsidRDefault="00E73DDF">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3CC27" w14:textId="77777777" w:rsidR="0029579E" w:rsidRDefault="0029579E">
      <w:pPr>
        <w:spacing w:after="0"/>
      </w:pPr>
      <w:r>
        <w:separator/>
      </w:r>
    </w:p>
  </w:footnote>
  <w:footnote w:type="continuationSeparator" w:id="0">
    <w:p w14:paraId="4751EF1D" w14:textId="77777777" w:rsidR="0029579E" w:rsidRDefault="002957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E73DDF" w:rsidRDefault="00E73DDF">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DC768F"/>
    <w:multiLevelType w:val="hybridMultilevel"/>
    <w:tmpl w:val="A4A25D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FA4D7F"/>
    <w:multiLevelType w:val="hybridMultilevel"/>
    <w:tmpl w:val="AC025F5C"/>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9FE18DA"/>
    <w:multiLevelType w:val="hybridMultilevel"/>
    <w:tmpl w:val="DF6A63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72930"/>
    <w:multiLevelType w:val="hybridMultilevel"/>
    <w:tmpl w:val="7C24E64C"/>
    <w:lvl w:ilvl="0" w:tplc="75585468">
      <w:start w:val="1"/>
      <w:numFmt w:val="bullet"/>
      <w:lvlText w:val=""/>
      <w:lvlJc w:val="left"/>
      <w:pPr>
        <w:tabs>
          <w:tab w:val="num" w:pos="720"/>
        </w:tabs>
        <w:ind w:left="720" w:hanging="360"/>
      </w:pPr>
      <w:rPr>
        <w:rFonts w:ascii="Symbol" w:hAnsi="Symbol" w:hint="default"/>
      </w:rPr>
    </w:lvl>
    <w:lvl w:ilvl="1" w:tplc="97D8CAD2" w:tentative="1">
      <w:start w:val="1"/>
      <w:numFmt w:val="bullet"/>
      <w:lvlText w:val=""/>
      <w:lvlJc w:val="left"/>
      <w:pPr>
        <w:tabs>
          <w:tab w:val="num" w:pos="1440"/>
        </w:tabs>
        <w:ind w:left="1440" w:hanging="360"/>
      </w:pPr>
      <w:rPr>
        <w:rFonts w:ascii="Symbol" w:hAnsi="Symbol" w:hint="default"/>
      </w:rPr>
    </w:lvl>
    <w:lvl w:ilvl="2" w:tplc="86B409AE" w:tentative="1">
      <w:start w:val="1"/>
      <w:numFmt w:val="bullet"/>
      <w:lvlText w:val=""/>
      <w:lvlJc w:val="left"/>
      <w:pPr>
        <w:tabs>
          <w:tab w:val="num" w:pos="2160"/>
        </w:tabs>
        <w:ind w:left="2160" w:hanging="360"/>
      </w:pPr>
      <w:rPr>
        <w:rFonts w:ascii="Symbol" w:hAnsi="Symbol" w:hint="default"/>
      </w:rPr>
    </w:lvl>
    <w:lvl w:ilvl="3" w:tplc="DC9CFF32" w:tentative="1">
      <w:start w:val="1"/>
      <w:numFmt w:val="bullet"/>
      <w:lvlText w:val=""/>
      <w:lvlJc w:val="left"/>
      <w:pPr>
        <w:tabs>
          <w:tab w:val="num" w:pos="2880"/>
        </w:tabs>
        <w:ind w:left="2880" w:hanging="360"/>
      </w:pPr>
      <w:rPr>
        <w:rFonts w:ascii="Symbol" w:hAnsi="Symbol" w:hint="default"/>
      </w:rPr>
    </w:lvl>
    <w:lvl w:ilvl="4" w:tplc="CB64684A" w:tentative="1">
      <w:start w:val="1"/>
      <w:numFmt w:val="bullet"/>
      <w:lvlText w:val=""/>
      <w:lvlJc w:val="left"/>
      <w:pPr>
        <w:tabs>
          <w:tab w:val="num" w:pos="3600"/>
        </w:tabs>
        <w:ind w:left="3600" w:hanging="360"/>
      </w:pPr>
      <w:rPr>
        <w:rFonts w:ascii="Symbol" w:hAnsi="Symbol" w:hint="default"/>
      </w:rPr>
    </w:lvl>
    <w:lvl w:ilvl="5" w:tplc="614E8B3E" w:tentative="1">
      <w:start w:val="1"/>
      <w:numFmt w:val="bullet"/>
      <w:lvlText w:val=""/>
      <w:lvlJc w:val="left"/>
      <w:pPr>
        <w:tabs>
          <w:tab w:val="num" w:pos="4320"/>
        </w:tabs>
        <w:ind w:left="4320" w:hanging="360"/>
      </w:pPr>
      <w:rPr>
        <w:rFonts w:ascii="Symbol" w:hAnsi="Symbol" w:hint="default"/>
      </w:rPr>
    </w:lvl>
    <w:lvl w:ilvl="6" w:tplc="6B5C491E" w:tentative="1">
      <w:start w:val="1"/>
      <w:numFmt w:val="bullet"/>
      <w:lvlText w:val=""/>
      <w:lvlJc w:val="left"/>
      <w:pPr>
        <w:tabs>
          <w:tab w:val="num" w:pos="5040"/>
        </w:tabs>
        <w:ind w:left="5040" w:hanging="360"/>
      </w:pPr>
      <w:rPr>
        <w:rFonts w:ascii="Symbol" w:hAnsi="Symbol" w:hint="default"/>
      </w:rPr>
    </w:lvl>
    <w:lvl w:ilvl="7" w:tplc="7C52D03A" w:tentative="1">
      <w:start w:val="1"/>
      <w:numFmt w:val="bullet"/>
      <w:lvlText w:val=""/>
      <w:lvlJc w:val="left"/>
      <w:pPr>
        <w:tabs>
          <w:tab w:val="num" w:pos="5760"/>
        </w:tabs>
        <w:ind w:left="5760" w:hanging="360"/>
      </w:pPr>
      <w:rPr>
        <w:rFonts w:ascii="Symbol" w:hAnsi="Symbol" w:hint="default"/>
      </w:rPr>
    </w:lvl>
    <w:lvl w:ilvl="8" w:tplc="C210944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946B33"/>
    <w:multiLevelType w:val="hybridMultilevel"/>
    <w:tmpl w:val="AF40A642"/>
    <w:lvl w:ilvl="0" w:tplc="E0D4BAF8">
      <w:start w:val="1"/>
      <w:numFmt w:val="bullet"/>
      <w:lvlText w:val=""/>
      <w:lvlJc w:val="left"/>
      <w:pPr>
        <w:ind w:left="1552" w:hanging="420"/>
      </w:pPr>
      <w:rPr>
        <w:rFonts w:ascii="Wingdings" w:hAnsi="Wingdings" w:hint="default"/>
      </w:rPr>
    </w:lvl>
    <w:lvl w:ilvl="1" w:tplc="04090003" w:tentative="1">
      <w:start w:val="1"/>
      <w:numFmt w:val="bullet"/>
      <w:lvlText w:val=""/>
      <w:lvlJc w:val="left"/>
      <w:pPr>
        <w:ind w:left="1972" w:hanging="420"/>
      </w:pPr>
      <w:rPr>
        <w:rFonts w:ascii="Wingdings" w:hAnsi="Wingdings" w:hint="default"/>
      </w:rPr>
    </w:lvl>
    <w:lvl w:ilvl="2" w:tplc="04090005" w:tentative="1">
      <w:start w:val="1"/>
      <w:numFmt w:val="bullet"/>
      <w:lvlText w:val=""/>
      <w:lvlJc w:val="left"/>
      <w:pPr>
        <w:ind w:left="2392" w:hanging="420"/>
      </w:pPr>
      <w:rPr>
        <w:rFonts w:ascii="Wingdings" w:hAnsi="Wingdings" w:hint="default"/>
      </w:rPr>
    </w:lvl>
    <w:lvl w:ilvl="3" w:tplc="04090001" w:tentative="1">
      <w:start w:val="1"/>
      <w:numFmt w:val="bullet"/>
      <w:lvlText w:val=""/>
      <w:lvlJc w:val="left"/>
      <w:pPr>
        <w:ind w:left="2812" w:hanging="420"/>
      </w:pPr>
      <w:rPr>
        <w:rFonts w:ascii="Wingdings" w:hAnsi="Wingdings" w:hint="default"/>
      </w:rPr>
    </w:lvl>
    <w:lvl w:ilvl="4" w:tplc="04090003" w:tentative="1">
      <w:start w:val="1"/>
      <w:numFmt w:val="bullet"/>
      <w:lvlText w:val=""/>
      <w:lvlJc w:val="left"/>
      <w:pPr>
        <w:ind w:left="3232" w:hanging="420"/>
      </w:pPr>
      <w:rPr>
        <w:rFonts w:ascii="Wingdings" w:hAnsi="Wingdings" w:hint="default"/>
      </w:rPr>
    </w:lvl>
    <w:lvl w:ilvl="5" w:tplc="04090005" w:tentative="1">
      <w:start w:val="1"/>
      <w:numFmt w:val="bullet"/>
      <w:lvlText w:val=""/>
      <w:lvlJc w:val="left"/>
      <w:pPr>
        <w:ind w:left="3652" w:hanging="420"/>
      </w:pPr>
      <w:rPr>
        <w:rFonts w:ascii="Wingdings" w:hAnsi="Wingdings" w:hint="default"/>
      </w:rPr>
    </w:lvl>
    <w:lvl w:ilvl="6" w:tplc="04090001" w:tentative="1">
      <w:start w:val="1"/>
      <w:numFmt w:val="bullet"/>
      <w:lvlText w:val=""/>
      <w:lvlJc w:val="left"/>
      <w:pPr>
        <w:ind w:left="4072" w:hanging="420"/>
      </w:pPr>
      <w:rPr>
        <w:rFonts w:ascii="Wingdings" w:hAnsi="Wingdings" w:hint="default"/>
      </w:rPr>
    </w:lvl>
    <w:lvl w:ilvl="7" w:tplc="04090003" w:tentative="1">
      <w:start w:val="1"/>
      <w:numFmt w:val="bullet"/>
      <w:lvlText w:val=""/>
      <w:lvlJc w:val="left"/>
      <w:pPr>
        <w:ind w:left="4492" w:hanging="420"/>
      </w:pPr>
      <w:rPr>
        <w:rFonts w:ascii="Wingdings" w:hAnsi="Wingdings" w:hint="default"/>
      </w:rPr>
    </w:lvl>
    <w:lvl w:ilvl="8" w:tplc="04090005" w:tentative="1">
      <w:start w:val="1"/>
      <w:numFmt w:val="bullet"/>
      <w:lvlText w:val=""/>
      <w:lvlJc w:val="left"/>
      <w:pPr>
        <w:ind w:left="4912" w:hanging="420"/>
      </w:pPr>
      <w:rPr>
        <w:rFonts w:ascii="Wingdings" w:hAnsi="Wingdings" w:hint="default"/>
      </w:rPr>
    </w:lvl>
  </w:abstractNum>
  <w:abstractNum w:abstractNumId="8" w15:restartNumberingAfterBreak="0">
    <w:nsid w:val="1E527266"/>
    <w:multiLevelType w:val="hybridMultilevel"/>
    <w:tmpl w:val="2A345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6E25F1"/>
    <w:multiLevelType w:val="hybridMultilevel"/>
    <w:tmpl w:val="99607810"/>
    <w:lvl w:ilvl="0" w:tplc="E0D4BAF8">
      <w:start w:val="1"/>
      <w:numFmt w:val="bullet"/>
      <w:lvlText w:val=""/>
      <w:lvlJc w:val="left"/>
      <w:pPr>
        <w:ind w:left="1551" w:hanging="420"/>
      </w:pPr>
      <w:rPr>
        <w:rFonts w:ascii="Wingdings" w:hAnsi="Wingdings" w:hint="default"/>
      </w:rPr>
    </w:lvl>
    <w:lvl w:ilvl="1" w:tplc="04090003" w:tentative="1">
      <w:start w:val="1"/>
      <w:numFmt w:val="bullet"/>
      <w:lvlText w:val=""/>
      <w:lvlJc w:val="left"/>
      <w:pPr>
        <w:ind w:left="1971" w:hanging="420"/>
      </w:pPr>
      <w:rPr>
        <w:rFonts w:ascii="Wingdings" w:hAnsi="Wingdings" w:hint="default"/>
      </w:rPr>
    </w:lvl>
    <w:lvl w:ilvl="2" w:tplc="04090005" w:tentative="1">
      <w:start w:val="1"/>
      <w:numFmt w:val="bullet"/>
      <w:lvlText w:val=""/>
      <w:lvlJc w:val="left"/>
      <w:pPr>
        <w:ind w:left="2391" w:hanging="420"/>
      </w:pPr>
      <w:rPr>
        <w:rFonts w:ascii="Wingdings" w:hAnsi="Wingdings" w:hint="default"/>
      </w:rPr>
    </w:lvl>
    <w:lvl w:ilvl="3" w:tplc="04090001" w:tentative="1">
      <w:start w:val="1"/>
      <w:numFmt w:val="bullet"/>
      <w:lvlText w:val=""/>
      <w:lvlJc w:val="left"/>
      <w:pPr>
        <w:ind w:left="2811" w:hanging="420"/>
      </w:pPr>
      <w:rPr>
        <w:rFonts w:ascii="Wingdings" w:hAnsi="Wingdings" w:hint="default"/>
      </w:rPr>
    </w:lvl>
    <w:lvl w:ilvl="4" w:tplc="04090003" w:tentative="1">
      <w:start w:val="1"/>
      <w:numFmt w:val="bullet"/>
      <w:lvlText w:val=""/>
      <w:lvlJc w:val="left"/>
      <w:pPr>
        <w:ind w:left="3231" w:hanging="420"/>
      </w:pPr>
      <w:rPr>
        <w:rFonts w:ascii="Wingdings" w:hAnsi="Wingdings" w:hint="default"/>
      </w:rPr>
    </w:lvl>
    <w:lvl w:ilvl="5" w:tplc="04090005" w:tentative="1">
      <w:start w:val="1"/>
      <w:numFmt w:val="bullet"/>
      <w:lvlText w:val=""/>
      <w:lvlJc w:val="left"/>
      <w:pPr>
        <w:ind w:left="3651" w:hanging="420"/>
      </w:pPr>
      <w:rPr>
        <w:rFonts w:ascii="Wingdings" w:hAnsi="Wingdings" w:hint="default"/>
      </w:rPr>
    </w:lvl>
    <w:lvl w:ilvl="6" w:tplc="04090001" w:tentative="1">
      <w:start w:val="1"/>
      <w:numFmt w:val="bullet"/>
      <w:lvlText w:val=""/>
      <w:lvlJc w:val="left"/>
      <w:pPr>
        <w:ind w:left="4071" w:hanging="420"/>
      </w:pPr>
      <w:rPr>
        <w:rFonts w:ascii="Wingdings" w:hAnsi="Wingdings" w:hint="default"/>
      </w:rPr>
    </w:lvl>
    <w:lvl w:ilvl="7" w:tplc="04090003" w:tentative="1">
      <w:start w:val="1"/>
      <w:numFmt w:val="bullet"/>
      <w:lvlText w:val=""/>
      <w:lvlJc w:val="left"/>
      <w:pPr>
        <w:ind w:left="4491" w:hanging="420"/>
      </w:pPr>
      <w:rPr>
        <w:rFonts w:ascii="Wingdings" w:hAnsi="Wingdings" w:hint="default"/>
      </w:rPr>
    </w:lvl>
    <w:lvl w:ilvl="8" w:tplc="04090005" w:tentative="1">
      <w:start w:val="1"/>
      <w:numFmt w:val="bullet"/>
      <w:lvlText w:val=""/>
      <w:lvlJc w:val="left"/>
      <w:pPr>
        <w:ind w:left="4911" w:hanging="420"/>
      </w:pPr>
      <w:rPr>
        <w:rFonts w:ascii="Wingdings" w:hAnsi="Wingdings" w:hint="default"/>
      </w:rPr>
    </w:lvl>
  </w:abstractNum>
  <w:abstractNum w:abstractNumId="10" w15:restartNumberingAfterBreak="0">
    <w:nsid w:val="2E194427"/>
    <w:multiLevelType w:val="hybridMultilevel"/>
    <w:tmpl w:val="92288C1A"/>
    <w:lvl w:ilvl="0" w:tplc="231AF242">
      <w:start w:val="1"/>
      <w:numFmt w:val="bullet"/>
      <w:lvlText w:val="-"/>
      <w:lvlJc w:val="left"/>
      <w:pPr>
        <w:tabs>
          <w:tab w:val="num" w:pos="720"/>
        </w:tabs>
        <w:ind w:left="720" w:hanging="360"/>
      </w:pPr>
      <w:rPr>
        <w:rFonts w:ascii="Arial" w:hAnsi="Arial" w:hint="default"/>
      </w:rPr>
    </w:lvl>
    <w:lvl w:ilvl="1" w:tplc="920A1474">
      <w:start w:val="1"/>
      <w:numFmt w:val="bullet"/>
      <w:lvlText w:val="-"/>
      <w:lvlJc w:val="left"/>
      <w:pPr>
        <w:tabs>
          <w:tab w:val="num" w:pos="1440"/>
        </w:tabs>
        <w:ind w:left="1440" w:hanging="360"/>
      </w:pPr>
      <w:rPr>
        <w:rFonts w:ascii="Arial" w:hAnsi="Arial" w:hint="default"/>
      </w:rPr>
    </w:lvl>
    <w:lvl w:ilvl="2" w:tplc="1772D39A" w:tentative="1">
      <w:start w:val="1"/>
      <w:numFmt w:val="bullet"/>
      <w:lvlText w:val="-"/>
      <w:lvlJc w:val="left"/>
      <w:pPr>
        <w:tabs>
          <w:tab w:val="num" w:pos="2160"/>
        </w:tabs>
        <w:ind w:left="2160" w:hanging="360"/>
      </w:pPr>
      <w:rPr>
        <w:rFonts w:ascii="Arial" w:hAnsi="Arial" w:hint="default"/>
      </w:rPr>
    </w:lvl>
    <w:lvl w:ilvl="3" w:tplc="6E2C03B2" w:tentative="1">
      <w:start w:val="1"/>
      <w:numFmt w:val="bullet"/>
      <w:lvlText w:val="-"/>
      <w:lvlJc w:val="left"/>
      <w:pPr>
        <w:tabs>
          <w:tab w:val="num" w:pos="2880"/>
        </w:tabs>
        <w:ind w:left="2880" w:hanging="360"/>
      </w:pPr>
      <w:rPr>
        <w:rFonts w:ascii="Arial" w:hAnsi="Arial" w:hint="default"/>
      </w:rPr>
    </w:lvl>
    <w:lvl w:ilvl="4" w:tplc="FAFC1AC8" w:tentative="1">
      <w:start w:val="1"/>
      <w:numFmt w:val="bullet"/>
      <w:lvlText w:val="-"/>
      <w:lvlJc w:val="left"/>
      <w:pPr>
        <w:tabs>
          <w:tab w:val="num" w:pos="3600"/>
        </w:tabs>
        <w:ind w:left="3600" w:hanging="360"/>
      </w:pPr>
      <w:rPr>
        <w:rFonts w:ascii="Arial" w:hAnsi="Arial" w:hint="default"/>
      </w:rPr>
    </w:lvl>
    <w:lvl w:ilvl="5" w:tplc="D6A4DEAC" w:tentative="1">
      <w:start w:val="1"/>
      <w:numFmt w:val="bullet"/>
      <w:lvlText w:val="-"/>
      <w:lvlJc w:val="left"/>
      <w:pPr>
        <w:tabs>
          <w:tab w:val="num" w:pos="4320"/>
        </w:tabs>
        <w:ind w:left="4320" w:hanging="360"/>
      </w:pPr>
      <w:rPr>
        <w:rFonts w:ascii="Arial" w:hAnsi="Arial" w:hint="default"/>
      </w:rPr>
    </w:lvl>
    <w:lvl w:ilvl="6" w:tplc="ECB440E4" w:tentative="1">
      <w:start w:val="1"/>
      <w:numFmt w:val="bullet"/>
      <w:lvlText w:val="-"/>
      <w:lvlJc w:val="left"/>
      <w:pPr>
        <w:tabs>
          <w:tab w:val="num" w:pos="5040"/>
        </w:tabs>
        <w:ind w:left="5040" w:hanging="360"/>
      </w:pPr>
      <w:rPr>
        <w:rFonts w:ascii="Arial" w:hAnsi="Arial" w:hint="default"/>
      </w:rPr>
    </w:lvl>
    <w:lvl w:ilvl="7" w:tplc="FB06A9C2" w:tentative="1">
      <w:start w:val="1"/>
      <w:numFmt w:val="bullet"/>
      <w:lvlText w:val="-"/>
      <w:lvlJc w:val="left"/>
      <w:pPr>
        <w:tabs>
          <w:tab w:val="num" w:pos="5760"/>
        </w:tabs>
        <w:ind w:left="5760" w:hanging="360"/>
      </w:pPr>
      <w:rPr>
        <w:rFonts w:ascii="Arial" w:hAnsi="Arial" w:hint="default"/>
      </w:rPr>
    </w:lvl>
    <w:lvl w:ilvl="8" w:tplc="120A67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2827DF"/>
    <w:multiLevelType w:val="hybridMultilevel"/>
    <w:tmpl w:val="872E619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5D15A0B"/>
    <w:multiLevelType w:val="hybridMultilevel"/>
    <w:tmpl w:val="5136F440"/>
    <w:lvl w:ilvl="0" w:tplc="E0D4BAF8">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7311B04"/>
    <w:multiLevelType w:val="hybridMultilevel"/>
    <w:tmpl w:val="D910B7B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8222F3A"/>
    <w:multiLevelType w:val="hybridMultilevel"/>
    <w:tmpl w:val="FB5447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FE65C"/>
    <w:multiLevelType w:val="singleLevel"/>
    <w:tmpl w:val="390FE65C"/>
    <w:lvl w:ilvl="0">
      <w:start w:val="1"/>
      <w:numFmt w:val="decimal"/>
      <w:suff w:val="space"/>
      <w:lvlText w:val="[%1]"/>
      <w:lvlJc w:val="left"/>
    </w:lvl>
  </w:abstractNum>
  <w:abstractNum w:abstractNumId="16" w15:restartNumberingAfterBreak="0">
    <w:nsid w:val="3D900473"/>
    <w:multiLevelType w:val="hybridMultilevel"/>
    <w:tmpl w:val="C20CDEBC"/>
    <w:lvl w:ilvl="0" w:tplc="6248FDA8">
      <w:start w:val="1"/>
      <w:numFmt w:val="bullet"/>
      <w:lvlText w:val=""/>
      <w:lvlJc w:val="left"/>
      <w:pPr>
        <w:tabs>
          <w:tab w:val="num" w:pos="720"/>
        </w:tabs>
        <w:ind w:left="720" w:hanging="360"/>
      </w:pPr>
      <w:rPr>
        <w:rFonts w:ascii="Symbol" w:hAnsi="Symbol" w:hint="default"/>
      </w:rPr>
    </w:lvl>
    <w:lvl w:ilvl="1" w:tplc="B98CA456" w:tentative="1">
      <w:start w:val="1"/>
      <w:numFmt w:val="bullet"/>
      <w:lvlText w:val=""/>
      <w:lvlJc w:val="left"/>
      <w:pPr>
        <w:tabs>
          <w:tab w:val="num" w:pos="1440"/>
        </w:tabs>
        <w:ind w:left="1440" w:hanging="360"/>
      </w:pPr>
      <w:rPr>
        <w:rFonts w:ascii="Symbol" w:hAnsi="Symbol" w:hint="default"/>
      </w:rPr>
    </w:lvl>
    <w:lvl w:ilvl="2" w:tplc="E87A0E3A" w:tentative="1">
      <w:start w:val="1"/>
      <w:numFmt w:val="bullet"/>
      <w:lvlText w:val=""/>
      <w:lvlJc w:val="left"/>
      <w:pPr>
        <w:tabs>
          <w:tab w:val="num" w:pos="2160"/>
        </w:tabs>
        <w:ind w:left="2160" w:hanging="360"/>
      </w:pPr>
      <w:rPr>
        <w:rFonts w:ascii="Symbol" w:hAnsi="Symbol" w:hint="default"/>
      </w:rPr>
    </w:lvl>
    <w:lvl w:ilvl="3" w:tplc="2870C19E" w:tentative="1">
      <w:start w:val="1"/>
      <w:numFmt w:val="bullet"/>
      <w:lvlText w:val=""/>
      <w:lvlJc w:val="left"/>
      <w:pPr>
        <w:tabs>
          <w:tab w:val="num" w:pos="2880"/>
        </w:tabs>
        <w:ind w:left="2880" w:hanging="360"/>
      </w:pPr>
      <w:rPr>
        <w:rFonts w:ascii="Symbol" w:hAnsi="Symbol" w:hint="default"/>
      </w:rPr>
    </w:lvl>
    <w:lvl w:ilvl="4" w:tplc="4B7A0E78" w:tentative="1">
      <w:start w:val="1"/>
      <w:numFmt w:val="bullet"/>
      <w:lvlText w:val=""/>
      <w:lvlJc w:val="left"/>
      <w:pPr>
        <w:tabs>
          <w:tab w:val="num" w:pos="3600"/>
        </w:tabs>
        <w:ind w:left="3600" w:hanging="360"/>
      </w:pPr>
      <w:rPr>
        <w:rFonts w:ascii="Symbol" w:hAnsi="Symbol" w:hint="default"/>
      </w:rPr>
    </w:lvl>
    <w:lvl w:ilvl="5" w:tplc="675821A8" w:tentative="1">
      <w:start w:val="1"/>
      <w:numFmt w:val="bullet"/>
      <w:lvlText w:val=""/>
      <w:lvlJc w:val="left"/>
      <w:pPr>
        <w:tabs>
          <w:tab w:val="num" w:pos="4320"/>
        </w:tabs>
        <w:ind w:left="4320" w:hanging="360"/>
      </w:pPr>
      <w:rPr>
        <w:rFonts w:ascii="Symbol" w:hAnsi="Symbol" w:hint="default"/>
      </w:rPr>
    </w:lvl>
    <w:lvl w:ilvl="6" w:tplc="89C85FDE" w:tentative="1">
      <w:start w:val="1"/>
      <w:numFmt w:val="bullet"/>
      <w:lvlText w:val=""/>
      <w:lvlJc w:val="left"/>
      <w:pPr>
        <w:tabs>
          <w:tab w:val="num" w:pos="5040"/>
        </w:tabs>
        <w:ind w:left="5040" w:hanging="360"/>
      </w:pPr>
      <w:rPr>
        <w:rFonts w:ascii="Symbol" w:hAnsi="Symbol" w:hint="default"/>
      </w:rPr>
    </w:lvl>
    <w:lvl w:ilvl="7" w:tplc="1C6CC8EC" w:tentative="1">
      <w:start w:val="1"/>
      <w:numFmt w:val="bullet"/>
      <w:lvlText w:val=""/>
      <w:lvlJc w:val="left"/>
      <w:pPr>
        <w:tabs>
          <w:tab w:val="num" w:pos="5760"/>
        </w:tabs>
        <w:ind w:left="5760" w:hanging="360"/>
      </w:pPr>
      <w:rPr>
        <w:rFonts w:ascii="Symbol" w:hAnsi="Symbol" w:hint="default"/>
      </w:rPr>
    </w:lvl>
    <w:lvl w:ilvl="8" w:tplc="A3C4017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CF14D3"/>
    <w:multiLevelType w:val="hybridMultilevel"/>
    <w:tmpl w:val="2B1C39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2744C9"/>
    <w:multiLevelType w:val="hybridMultilevel"/>
    <w:tmpl w:val="3238D5E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FD2551"/>
    <w:multiLevelType w:val="hybridMultilevel"/>
    <w:tmpl w:val="7BB41F6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8EB527C"/>
    <w:multiLevelType w:val="hybridMultilevel"/>
    <w:tmpl w:val="3E2A46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D660FA"/>
    <w:multiLevelType w:val="hybridMultilevel"/>
    <w:tmpl w:val="4CA6F632"/>
    <w:lvl w:ilvl="0" w:tplc="9296120A">
      <w:start w:val="1"/>
      <w:numFmt w:val="bullet"/>
      <w:lvlText w:val="-"/>
      <w:lvlJc w:val="left"/>
      <w:pPr>
        <w:tabs>
          <w:tab w:val="num" w:pos="720"/>
        </w:tabs>
        <w:ind w:left="720" w:hanging="360"/>
      </w:pPr>
      <w:rPr>
        <w:rFonts w:ascii="Arial" w:hAnsi="Arial" w:hint="default"/>
      </w:rPr>
    </w:lvl>
    <w:lvl w:ilvl="1" w:tplc="4D00688C">
      <w:start w:val="1"/>
      <w:numFmt w:val="bullet"/>
      <w:lvlText w:val="-"/>
      <w:lvlJc w:val="left"/>
      <w:pPr>
        <w:tabs>
          <w:tab w:val="num" w:pos="1440"/>
        </w:tabs>
        <w:ind w:left="1440" w:hanging="360"/>
      </w:pPr>
      <w:rPr>
        <w:rFonts w:ascii="Arial" w:hAnsi="Arial" w:hint="default"/>
      </w:rPr>
    </w:lvl>
    <w:lvl w:ilvl="2" w:tplc="2F16B3E8" w:tentative="1">
      <w:start w:val="1"/>
      <w:numFmt w:val="bullet"/>
      <w:lvlText w:val="-"/>
      <w:lvlJc w:val="left"/>
      <w:pPr>
        <w:tabs>
          <w:tab w:val="num" w:pos="2160"/>
        </w:tabs>
        <w:ind w:left="2160" w:hanging="360"/>
      </w:pPr>
      <w:rPr>
        <w:rFonts w:ascii="Arial" w:hAnsi="Arial" w:hint="default"/>
      </w:rPr>
    </w:lvl>
    <w:lvl w:ilvl="3" w:tplc="55B42E72" w:tentative="1">
      <w:start w:val="1"/>
      <w:numFmt w:val="bullet"/>
      <w:lvlText w:val="-"/>
      <w:lvlJc w:val="left"/>
      <w:pPr>
        <w:tabs>
          <w:tab w:val="num" w:pos="2880"/>
        </w:tabs>
        <w:ind w:left="2880" w:hanging="360"/>
      </w:pPr>
      <w:rPr>
        <w:rFonts w:ascii="Arial" w:hAnsi="Arial" w:hint="default"/>
      </w:rPr>
    </w:lvl>
    <w:lvl w:ilvl="4" w:tplc="464C2286" w:tentative="1">
      <w:start w:val="1"/>
      <w:numFmt w:val="bullet"/>
      <w:lvlText w:val="-"/>
      <w:lvlJc w:val="left"/>
      <w:pPr>
        <w:tabs>
          <w:tab w:val="num" w:pos="3600"/>
        </w:tabs>
        <w:ind w:left="3600" w:hanging="360"/>
      </w:pPr>
      <w:rPr>
        <w:rFonts w:ascii="Arial" w:hAnsi="Arial" w:hint="default"/>
      </w:rPr>
    </w:lvl>
    <w:lvl w:ilvl="5" w:tplc="DC28809E" w:tentative="1">
      <w:start w:val="1"/>
      <w:numFmt w:val="bullet"/>
      <w:lvlText w:val="-"/>
      <w:lvlJc w:val="left"/>
      <w:pPr>
        <w:tabs>
          <w:tab w:val="num" w:pos="4320"/>
        </w:tabs>
        <w:ind w:left="4320" w:hanging="360"/>
      </w:pPr>
      <w:rPr>
        <w:rFonts w:ascii="Arial" w:hAnsi="Arial" w:hint="default"/>
      </w:rPr>
    </w:lvl>
    <w:lvl w:ilvl="6" w:tplc="9B06BABA" w:tentative="1">
      <w:start w:val="1"/>
      <w:numFmt w:val="bullet"/>
      <w:lvlText w:val="-"/>
      <w:lvlJc w:val="left"/>
      <w:pPr>
        <w:tabs>
          <w:tab w:val="num" w:pos="5040"/>
        </w:tabs>
        <w:ind w:left="5040" w:hanging="360"/>
      </w:pPr>
      <w:rPr>
        <w:rFonts w:ascii="Arial" w:hAnsi="Arial" w:hint="default"/>
      </w:rPr>
    </w:lvl>
    <w:lvl w:ilvl="7" w:tplc="EEC6DDA8" w:tentative="1">
      <w:start w:val="1"/>
      <w:numFmt w:val="bullet"/>
      <w:lvlText w:val="-"/>
      <w:lvlJc w:val="left"/>
      <w:pPr>
        <w:tabs>
          <w:tab w:val="num" w:pos="5760"/>
        </w:tabs>
        <w:ind w:left="5760" w:hanging="360"/>
      </w:pPr>
      <w:rPr>
        <w:rFonts w:ascii="Arial" w:hAnsi="Arial" w:hint="default"/>
      </w:rPr>
    </w:lvl>
    <w:lvl w:ilvl="8" w:tplc="3804812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894AC8"/>
    <w:multiLevelType w:val="hybridMultilevel"/>
    <w:tmpl w:val="DA267C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690F16"/>
    <w:multiLevelType w:val="hybridMultilevel"/>
    <w:tmpl w:val="D384143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CB4512"/>
    <w:multiLevelType w:val="hybridMultilevel"/>
    <w:tmpl w:val="0E567A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DE62CD5"/>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F9A0155"/>
    <w:multiLevelType w:val="hybridMultilevel"/>
    <w:tmpl w:val="8668E230"/>
    <w:lvl w:ilvl="0" w:tplc="CCAECB40">
      <w:start w:val="1"/>
      <w:numFmt w:val="decimal"/>
      <w:lvlText w:val="%1."/>
      <w:lvlJc w:val="left"/>
      <w:pPr>
        <w:tabs>
          <w:tab w:val="num" w:pos="720"/>
        </w:tabs>
        <w:ind w:left="720" w:hanging="360"/>
      </w:pPr>
    </w:lvl>
    <w:lvl w:ilvl="1" w:tplc="CB6EDCFE">
      <w:start w:val="1"/>
      <w:numFmt w:val="lowerLetter"/>
      <w:lvlText w:val="%2."/>
      <w:lvlJc w:val="left"/>
      <w:pPr>
        <w:tabs>
          <w:tab w:val="num" w:pos="1440"/>
        </w:tabs>
        <w:ind w:left="1440" w:hanging="360"/>
      </w:pPr>
    </w:lvl>
    <w:lvl w:ilvl="2" w:tplc="8894091C" w:tentative="1">
      <w:start w:val="1"/>
      <w:numFmt w:val="decimal"/>
      <w:lvlText w:val="%3."/>
      <w:lvlJc w:val="left"/>
      <w:pPr>
        <w:tabs>
          <w:tab w:val="num" w:pos="2160"/>
        </w:tabs>
        <w:ind w:left="2160" w:hanging="360"/>
      </w:pPr>
    </w:lvl>
    <w:lvl w:ilvl="3" w:tplc="F8487FAE" w:tentative="1">
      <w:start w:val="1"/>
      <w:numFmt w:val="decimal"/>
      <w:lvlText w:val="%4."/>
      <w:lvlJc w:val="left"/>
      <w:pPr>
        <w:tabs>
          <w:tab w:val="num" w:pos="2880"/>
        </w:tabs>
        <w:ind w:left="2880" w:hanging="360"/>
      </w:pPr>
    </w:lvl>
    <w:lvl w:ilvl="4" w:tplc="C3040198" w:tentative="1">
      <w:start w:val="1"/>
      <w:numFmt w:val="decimal"/>
      <w:lvlText w:val="%5."/>
      <w:lvlJc w:val="left"/>
      <w:pPr>
        <w:tabs>
          <w:tab w:val="num" w:pos="3600"/>
        </w:tabs>
        <w:ind w:left="3600" w:hanging="360"/>
      </w:pPr>
    </w:lvl>
    <w:lvl w:ilvl="5" w:tplc="6B1C7448" w:tentative="1">
      <w:start w:val="1"/>
      <w:numFmt w:val="decimal"/>
      <w:lvlText w:val="%6."/>
      <w:lvlJc w:val="left"/>
      <w:pPr>
        <w:tabs>
          <w:tab w:val="num" w:pos="4320"/>
        </w:tabs>
        <w:ind w:left="4320" w:hanging="360"/>
      </w:pPr>
    </w:lvl>
    <w:lvl w:ilvl="6" w:tplc="6C18411A" w:tentative="1">
      <w:start w:val="1"/>
      <w:numFmt w:val="decimal"/>
      <w:lvlText w:val="%7."/>
      <w:lvlJc w:val="left"/>
      <w:pPr>
        <w:tabs>
          <w:tab w:val="num" w:pos="5040"/>
        </w:tabs>
        <w:ind w:left="5040" w:hanging="360"/>
      </w:pPr>
    </w:lvl>
    <w:lvl w:ilvl="7" w:tplc="047A3A7A" w:tentative="1">
      <w:start w:val="1"/>
      <w:numFmt w:val="decimal"/>
      <w:lvlText w:val="%8."/>
      <w:lvlJc w:val="left"/>
      <w:pPr>
        <w:tabs>
          <w:tab w:val="num" w:pos="5760"/>
        </w:tabs>
        <w:ind w:left="5760" w:hanging="360"/>
      </w:pPr>
    </w:lvl>
    <w:lvl w:ilvl="8" w:tplc="D6E0DF78" w:tentative="1">
      <w:start w:val="1"/>
      <w:numFmt w:val="decimal"/>
      <w:lvlText w:val="%9."/>
      <w:lvlJc w:val="left"/>
      <w:pPr>
        <w:tabs>
          <w:tab w:val="num" w:pos="6480"/>
        </w:tabs>
        <w:ind w:left="6480" w:hanging="360"/>
      </w:pPr>
    </w:lvl>
  </w:abstractNum>
  <w:num w:numId="1">
    <w:abstractNumId w:val="0"/>
  </w:num>
  <w:num w:numId="2">
    <w:abstractNumId w:val="20"/>
  </w:num>
  <w:num w:numId="3">
    <w:abstractNumId w:val="18"/>
  </w:num>
  <w:num w:numId="4">
    <w:abstractNumId w:val="3"/>
  </w:num>
  <w:num w:numId="5">
    <w:abstractNumId w:val="15"/>
  </w:num>
  <w:num w:numId="6">
    <w:abstractNumId w:val="26"/>
  </w:num>
  <w:num w:numId="7">
    <w:abstractNumId w:val="21"/>
  </w:num>
  <w:num w:numId="8">
    <w:abstractNumId w:val="23"/>
  </w:num>
  <w:num w:numId="9">
    <w:abstractNumId w:val="2"/>
  </w:num>
  <w:num w:numId="10">
    <w:abstractNumId w:val="22"/>
  </w:num>
  <w:num w:numId="11">
    <w:abstractNumId w:val="4"/>
  </w:num>
  <w:num w:numId="12">
    <w:abstractNumId w:val="8"/>
  </w:num>
  <w:num w:numId="13">
    <w:abstractNumId w:val="1"/>
  </w:num>
  <w:num w:numId="14">
    <w:abstractNumId w:val="28"/>
  </w:num>
  <w:num w:numId="15">
    <w:abstractNumId w:val="11"/>
  </w:num>
  <w:num w:numId="16">
    <w:abstractNumId w:val="14"/>
  </w:num>
  <w:num w:numId="17">
    <w:abstractNumId w:val="24"/>
  </w:num>
  <w:num w:numId="18">
    <w:abstractNumId w:val="10"/>
  </w:num>
  <w:num w:numId="19">
    <w:abstractNumId w:val="25"/>
  </w:num>
  <w:num w:numId="20">
    <w:abstractNumId w:val="6"/>
  </w:num>
  <w:num w:numId="21">
    <w:abstractNumId w:val="27"/>
  </w:num>
  <w:num w:numId="22">
    <w:abstractNumId w:val="16"/>
  </w:num>
  <w:num w:numId="23">
    <w:abstractNumId w:val="19"/>
  </w:num>
  <w:num w:numId="24">
    <w:abstractNumId w:val="13"/>
  </w:num>
  <w:num w:numId="25">
    <w:abstractNumId w:val="29"/>
  </w:num>
  <w:num w:numId="26">
    <w:abstractNumId w:val="9"/>
  </w:num>
  <w:num w:numId="27">
    <w:abstractNumId w:val="7"/>
  </w:num>
  <w:num w:numId="28">
    <w:abstractNumId w:val="5"/>
  </w:num>
  <w:num w:numId="29">
    <w:abstractNumId w:val="12"/>
  </w:num>
  <w:num w:numId="30">
    <w:abstractNumId w:val="17"/>
  </w:num>
  <w:num w:numId="31">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EA"/>
    <w:rsid w:val="00000B85"/>
    <w:rsid w:val="00001366"/>
    <w:rsid w:val="00002BB8"/>
    <w:rsid w:val="00003660"/>
    <w:rsid w:val="0000394D"/>
    <w:rsid w:val="00003FFE"/>
    <w:rsid w:val="000055B1"/>
    <w:rsid w:val="00005B70"/>
    <w:rsid w:val="00005DF4"/>
    <w:rsid w:val="00005E43"/>
    <w:rsid w:val="00005EF7"/>
    <w:rsid w:val="000066AE"/>
    <w:rsid w:val="000072CF"/>
    <w:rsid w:val="00007393"/>
    <w:rsid w:val="00007C21"/>
    <w:rsid w:val="000103E7"/>
    <w:rsid w:val="00010DA7"/>
    <w:rsid w:val="00011DB1"/>
    <w:rsid w:val="00012D50"/>
    <w:rsid w:val="000130CA"/>
    <w:rsid w:val="000134B4"/>
    <w:rsid w:val="00013FAD"/>
    <w:rsid w:val="00014C05"/>
    <w:rsid w:val="000155A0"/>
    <w:rsid w:val="00015F31"/>
    <w:rsid w:val="0001743F"/>
    <w:rsid w:val="00017BA5"/>
    <w:rsid w:val="000210D4"/>
    <w:rsid w:val="00021259"/>
    <w:rsid w:val="00021359"/>
    <w:rsid w:val="000223BE"/>
    <w:rsid w:val="00023609"/>
    <w:rsid w:val="0002434C"/>
    <w:rsid w:val="000248FC"/>
    <w:rsid w:val="00024E29"/>
    <w:rsid w:val="0002562F"/>
    <w:rsid w:val="00025F84"/>
    <w:rsid w:val="00026196"/>
    <w:rsid w:val="0002660A"/>
    <w:rsid w:val="00026899"/>
    <w:rsid w:val="0002698B"/>
    <w:rsid w:val="00026ACA"/>
    <w:rsid w:val="00027843"/>
    <w:rsid w:val="00027EEC"/>
    <w:rsid w:val="00030D30"/>
    <w:rsid w:val="00032285"/>
    <w:rsid w:val="0003298D"/>
    <w:rsid w:val="00033C86"/>
    <w:rsid w:val="000342D4"/>
    <w:rsid w:val="0003448A"/>
    <w:rsid w:val="00034EB9"/>
    <w:rsid w:val="0003527D"/>
    <w:rsid w:val="00035BC3"/>
    <w:rsid w:val="00035EF9"/>
    <w:rsid w:val="00036C47"/>
    <w:rsid w:val="00037973"/>
    <w:rsid w:val="0004001E"/>
    <w:rsid w:val="00040A63"/>
    <w:rsid w:val="00040AFF"/>
    <w:rsid w:val="0004105F"/>
    <w:rsid w:val="00041D22"/>
    <w:rsid w:val="000425B2"/>
    <w:rsid w:val="000426D8"/>
    <w:rsid w:val="00042E6F"/>
    <w:rsid w:val="00043923"/>
    <w:rsid w:val="00043FCA"/>
    <w:rsid w:val="00045361"/>
    <w:rsid w:val="0004585D"/>
    <w:rsid w:val="00045B47"/>
    <w:rsid w:val="00045DE3"/>
    <w:rsid w:val="00045EDE"/>
    <w:rsid w:val="000469FA"/>
    <w:rsid w:val="00046A44"/>
    <w:rsid w:val="00046E3D"/>
    <w:rsid w:val="00047DFE"/>
    <w:rsid w:val="00050B44"/>
    <w:rsid w:val="00050D6E"/>
    <w:rsid w:val="0005261D"/>
    <w:rsid w:val="00053136"/>
    <w:rsid w:val="0005323E"/>
    <w:rsid w:val="00053C60"/>
    <w:rsid w:val="00054AAB"/>
    <w:rsid w:val="000552CF"/>
    <w:rsid w:val="00055466"/>
    <w:rsid w:val="00055E6B"/>
    <w:rsid w:val="00056052"/>
    <w:rsid w:val="000563ED"/>
    <w:rsid w:val="00056989"/>
    <w:rsid w:val="000603D6"/>
    <w:rsid w:val="0006086A"/>
    <w:rsid w:val="00060C77"/>
    <w:rsid w:val="00061BB5"/>
    <w:rsid w:val="00062984"/>
    <w:rsid w:val="000638DF"/>
    <w:rsid w:val="00066626"/>
    <w:rsid w:val="000671D7"/>
    <w:rsid w:val="00067927"/>
    <w:rsid w:val="0007006B"/>
    <w:rsid w:val="0007093A"/>
    <w:rsid w:val="00070B9F"/>
    <w:rsid w:val="00071AF4"/>
    <w:rsid w:val="0007205B"/>
    <w:rsid w:val="000728AC"/>
    <w:rsid w:val="00072D82"/>
    <w:rsid w:val="00072FC4"/>
    <w:rsid w:val="000731B4"/>
    <w:rsid w:val="00073BCE"/>
    <w:rsid w:val="000755A8"/>
    <w:rsid w:val="00075BA9"/>
    <w:rsid w:val="00075C2E"/>
    <w:rsid w:val="00075CA7"/>
    <w:rsid w:val="00075E99"/>
    <w:rsid w:val="00076261"/>
    <w:rsid w:val="00076B12"/>
    <w:rsid w:val="00077741"/>
    <w:rsid w:val="00077F12"/>
    <w:rsid w:val="000804D4"/>
    <w:rsid w:val="00080876"/>
    <w:rsid w:val="0008122E"/>
    <w:rsid w:val="00082275"/>
    <w:rsid w:val="0008237B"/>
    <w:rsid w:val="00082CAA"/>
    <w:rsid w:val="000832EC"/>
    <w:rsid w:val="00083C5A"/>
    <w:rsid w:val="00084609"/>
    <w:rsid w:val="000846F4"/>
    <w:rsid w:val="0008647A"/>
    <w:rsid w:val="0008649F"/>
    <w:rsid w:val="000866E0"/>
    <w:rsid w:val="00086966"/>
    <w:rsid w:val="00086983"/>
    <w:rsid w:val="000874AD"/>
    <w:rsid w:val="000875C4"/>
    <w:rsid w:val="0009084A"/>
    <w:rsid w:val="000915A4"/>
    <w:rsid w:val="000923E4"/>
    <w:rsid w:val="0009278C"/>
    <w:rsid w:val="00092939"/>
    <w:rsid w:val="00092E40"/>
    <w:rsid w:val="00093516"/>
    <w:rsid w:val="00093615"/>
    <w:rsid w:val="00095261"/>
    <w:rsid w:val="000957B5"/>
    <w:rsid w:val="00095C24"/>
    <w:rsid w:val="00095D90"/>
    <w:rsid w:val="000969D7"/>
    <w:rsid w:val="00096D9B"/>
    <w:rsid w:val="00097209"/>
    <w:rsid w:val="00097368"/>
    <w:rsid w:val="000973DA"/>
    <w:rsid w:val="0009777E"/>
    <w:rsid w:val="00097F46"/>
    <w:rsid w:val="000A0C22"/>
    <w:rsid w:val="000A19D1"/>
    <w:rsid w:val="000A204F"/>
    <w:rsid w:val="000A22DF"/>
    <w:rsid w:val="000A2A28"/>
    <w:rsid w:val="000A2D0A"/>
    <w:rsid w:val="000A2DE1"/>
    <w:rsid w:val="000A2F81"/>
    <w:rsid w:val="000A363A"/>
    <w:rsid w:val="000A3A4E"/>
    <w:rsid w:val="000A4568"/>
    <w:rsid w:val="000A53F5"/>
    <w:rsid w:val="000A5DC2"/>
    <w:rsid w:val="000A6173"/>
    <w:rsid w:val="000A637A"/>
    <w:rsid w:val="000A6671"/>
    <w:rsid w:val="000A7921"/>
    <w:rsid w:val="000A7B04"/>
    <w:rsid w:val="000B0D2E"/>
    <w:rsid w:val="000B1337"/>
    <w:rsid w:val="000B1DD3"/>
    <w:rsid w:val="000B1FA1"/>
    <w:rsid w:val="000B21DA"/>
    <w:rsid w:val="000B25A2"/>
    <w:rsid w:val="000B2A5C"/>
    <w:rsid w:val="000B31AA"/>
    <w:rsid w:val="000B3721"/>
    <w:rsid w:val="000B38F6"/>
    <w:rsid w:val="000B4B76"/>
    <w:rsid w:val="000B57C0"/>
    <w:rsid w:val="000B5F7A"/>
    <w:rsid w:val="000B65CB"/>
    <w:rsid w:val="000B6A1D"/>
    <w:rsid w:val="000B6FD9"/>
    <w:rsid w:val="000B780E"/>
    <w:rsid w:val="000B7B16"/>
    <w:rsid w:val="000C03DF"/>
    <w:rsid w:val="000C0CBC"/>
    <w:rsid w:val="000C144C"/>
    <w:rsid w:val="000C1DE5"/>
    <w:rsid w:val="000C236D"/>
    <w:rsid w:val="000C2690"/>
    <w:rsid w:val="000C31CE"/>
    <w:rsid w:val="000C364E"/>
    <w:rsid w:val="000C4609"/>
    <w:rsid w:val="000C4CDF"/>
    <w:rsid w:val="000C55E1"/>
    <w:rsid w:val="000C5D4C"/>
    <w:rsid w:val="000C6273"/>
    <w:rsid w:val="000C6599"/>
    <w:rsid w:val="000C6CE5"/>
    <w:rsid w:val="000C770A"/>
    <w:rsid w:val="000C7FC7"/>
    <w:rsid w:val="000D084C"/>
    <w:rsid w:val="000D143B"/>
    <w:rsid w:val="000D18C5"/>
    <w:rsid w:val="000D20AC"/>
    <w:rsid w:val="000D2278"/>
    <w:rsid w:val="000D2771"/>
    <w:rsid w:val="000D2BF9"/>
    <w:rsid w:val="000D350D"/>
    <w:rsid w:val="000D3F28"/>
    <w:rsid w:val="000D6745"/>
    <w:rsid w:val="000D6D12"/>
    <w:rsid w:val="000D7144"/>
    <w:rsid w:val="000D7EAD"/>
    <w:rsid w:val="000D7EED"/>
    <w:rsid w:val="000E00FD"/>
    <w:rsid w:val="000E041F"/>
    <w:rsid w:val="000E0C04"/>
    <w:rsid w:val="000E1125"/>
    <w:rsid w:val="000E1428"/>
    <w:rsid w:val="000E1974"/>
    <w:rsid w:val="000E1993"/>
    <w:rsid w:val="000E2162"/>
    <w:rsid w:val="000E2A20"/>
    <w:rsid w:val="000E2C13"/>
    <w:rsid w:val="000E3680"/>
    <w:rsid w:val="000E3B8A"/>
    <w:rsid w:val="000E447F"/>
    <w:rsid w:val="000E4BCA"/>
    <w:rsid w:val="000E5830"/>
    <w:rsid w:val="000E5C0F"/>
    <w:rsid w:val="000E76DD"/>
    <w:rsid w:val="000E77AE"/>
    <w:rsid w:val="000F0A7B"/>
    <w:rsid w:val="000F0B2B"/>
    <w:rsid w:val="000F0C4F"/>
    <w:rsid w:val="000F0D57"/>
    <w:rsid w:val="000F0E64"/>
    <w:rsid w:val="000F10F3"/>
    <w:rsid w:val="000F23E2"/>
    <w:rsid w:val="000F2D90"/>
    <w:rsid w:val="000F4C7C"/>
    <w:rsid w:val="000F4CFF"/>
    <w:rsid w:val="000F5243"/>
    <w:rsid w:val="000F6DBB"/>
    <w:rsid w:val="00100030"/>
    <w:rsid w:val="00101E25"/>
    <w:rsid w:val="00101F95"/>
    <w:rsid w:val="00102033"/>
    <w:rsid w:val="00102880"/>
    <w:rsid w:val="00103E6A"/>
    <w:rsid w:val="00107192"/>
    <w:rsid w:val="0010762B"/>
    <w:rsid w:val="00107FD3"/>
    <w:rsid w:val="001102D9"/>
    <w:rsid w:val="00110572"/>
    <w:rsid w:val="001105D8"/>
    <w:rsid w:val="00111C96"/>
    <w:rsid w:val="00111CE0"/>
    <w:rsid w:val="00111DF0"/>
    <w:rsid w:val="001121C8"/>
    <w:rsid w:val="001135C5"/>
    <w:rsid w:val="001147C0"/>
    <w:rsid w:val="00114DEC"/>
    <w:rsid w:val="001156DF"/>
    <w:rsid w:val="00117A5F"/>
    <w:rsid w:val="00120453"/>
    <w:rsid w:val="0012180B"/>
    <w:rsid w:val="00121E61"/>
    <w:rsid w:val="00122393"/>
    <w:rsid w:val="00123124"/>
    <w:rsid w:val="00123491"/>
    <w:rsid w:val="00123816"/>
    <w:rsid w:val="0012407D"/>
    <w:rsid w:val="001253A3"/>
    <w:rsid w:val="00126145"/>
    <w:rsid w:val="0012628D"/>
    <w:rsid w:val="001266A1"/>
    <w:rsid w:val="0012673B"/>
    <w:rsid w:val="00127281"/>
    <w:rsid w:val="001277F8"/>
    <w:rsid w:val="00127952"/>
    <w:rsid w:val="0013131E"/>
    <w:rsid w:val="00131F75"/>
    <w:rsid w:val="0013213D"/>
    <w:rsid w:val="0013288E"/>
    <w:rsid w:val="00133107"/>
    <w:rsid w:val="00133AED"/>
    <w:rsid w:val="00133D8F"/>
    <w:rsid w:val="00134275"/>
    <w:rsid w:val="001346F3"/>
    <w:rsid w:val="00134A1C"/>
    <w:rsid w:val="0013534D"/>
    <w:rsid w:val="00135C72"/>
    <w:rsid w:val="00136153"/>
    <w:rsid w:val="00136886"/>
    <w:rsid w:val="00136E39"/>
    <w:rsid w:val="00136EE5"/>
    <w:rsid w:val="00136F38"/>
    <w:rsid w:val="00137AA0"/>
    <w:rsid w:val="00137B0E"/>
    <w:rsid w:val="00137B85"/>
    <w:rsid w:val="00137CA3"/>
    <w:rsid w:val="00137D4E"/>
    <w:rsid w:val="00137F5C"/>
    <w:rsid w:val="001413B6"/>
    <w:rsid w:val="00141835"/>
    <w:rsid w:val="001448D1"/>
    <w:rsid w:val="00144BC7"/>
    <w:rsid w:val="0014584A"/>
    <w:rsid w:val="00145AFF"/>
    <w:rsid w:val="00145D83"/>
    <w:rsid w:val="001463EE"/>
    <w:rsid w:val="00147740"/>
    <w:rsid w:val="00147984"/>
    <w:rsid w:val="00147E0C"/>
    <w:rsid w:val="0015058D"/>
    <w:rsid w:val="00150920"/>
    <w:rsid w:val="00150BAB"/>
    <w:rsid w:val="0015119D"/>
    <w:rsid w:val="0015182F"/>
    <w:rsid w:val="00152257"/>
    <w:rsid w:val="00152CB2"/>
    <w:rsid w:val="00154F40"/>
    <w:rsid w:val="00154F7A"/>
    <w:rsid w:val="0015556B"/>
    <w:rsid w:val="00156108"/>
    <w:rsid w:val="00156452"/>
    <w:rsid w:val="00156BB3"/>
    <w:rsid w:val="00160A40"/>
    <w:rsid w:val="00160D44"/>
    <w:rsid w:val="00162129"/>
    <w:rsid w:val="001627D9"/>
    <w:rsid w:val="00162C35"/>
    <w:rsid w:val="00163994"/>
    <w:rsid w:val="00164973"/>
    <w:rsid w:val="001656DD"/>
    <w:rsid w:val="00166C65"/>
    <w:rsid w:val="00166F6F"/>
    <w:rsid w:val="00170449"/>
    <w:rsid w:val="001704B5"/>
    <w:rsid w:val="0017054B"/>
    <w:rsid w:val="00170C6A"/>
    <w:rsid w:val="001711CA"/>
    <w:rsid w:val="00171F17"/>
    <w:rsid w:val="00171FF9"/>
    <w:rsid w:val="0017245C"/>
    <w:rsid w:val="00172A27"/>
    <w:rsid w:val="00172F8F"/>
    <w:rsid w:val="0017352F"/>
    <w:rsid w:val="00175874"/>
    <w:rsid w:val="0017655A"/>
    <w:rsid w:val="001767E6"/>
    <w:rsid w:val="00176AC2"/>
    <w:rsid w:val="001802FB"/>
    <w:rsid w:val="001806A8"/>
    <w:rsid w:val="00180983"/>
    <w:rsid w:val="0018107A"/>
    <w:rsid w:val="00182147"/>
    <w:rsid w:val="00182503"/>
    <w:rsid w:val="0018257B"/>
    <w:rsid w:val="00182CF6"/>
    <w:rsid w:val="0018310D"/>
    <w:rsid w:val="0018332B"/>
    <w:rsid w:val="00184C54"/>
    <w:rsid w:val="00187BAE"/>
    <w:rsid w:val="00187FEF"/>
    <w:rsid w:val="00190A8D"/>
    <w:rsid w:val="00190EE8"/>
    <w:rsid w:val="00192725"/>
    <w:rsid w:val="00192DEE"/>
    <w:rsid w:val="00194381"/>
    <w:rsid w:val="001945C8"/>
    <w:rsid w:val="00194D56"/>
    <w:rsid w:val="0019547D"/>
    <w:rsid w:val="00195588"/>
    <w:rsid w:val="00195E1F"/>
    <w:rsid w:val="00196645"/>
    <w:rsid w:val="00196CF3"/>
    <w:rsid w:val="00197997"/>
    <w:rsid w:val="00197999"/>
    <w:rsid w:val="001A05C7"/>
    <w:rsid w:val="001A071D"/>
    <w:rsid w:val="001A1437"/>
    <w:rsid w:val="001A384E"/>
    <w:rsid w:val="001A4015"/>
    <w:rsid w:val="001A56D3"/>
    <w:rsid w:val="001A5CDC"/>
    <w:rsid w:val="001A6198"/>
    <w:rsid w:val="001A6202"/>
    <w:rsid w:val="001A6431"/>
    <w:rsid w:val="001A6AFD"/>
    <w:rsid w:val="001B0AD2"/>
    <w:rsid w:val="001B14A1"/>
    <w:rsid w:val="001B1754"/>
    <w:rsid w:val="001B21A1"/>
    <w:rsid w:val="001B28A4"/>
    <w:rsid w:val="001B311B"/>
    <w:rsid w:val="001B337C"/>
    <w:rsid w:val="001B368B"/>
    <w:rsid w:val="001B414E"/>
    <w:rsid w:val="001B42AC"/>
    <w:rsid w:val="001B520D"/>
    <w:rsid w:val="001B5AE5"/>
    <w:rsid w:val="001B616A"/>
    <w:rsid w:val="001B6518"/>
    <w:rsid w:val="001B7027"/>
    <w:rsid w:val="001B764D"/>
    <w:rsid w:val="001B7B40"/>
    <w:rsid w:val="001B7C67"/>
    <w:rsid w:val="001B7E2F"/>
    <w:rsid w:val="001B7E8D"/>
    <w:rsid w:val="001C0CED"/>
    <w:rsid w:val="001C1105"/>
    <w:rsid w:val="001C17C6"/>
    <w:rsid w:val="001C22DE"/>
    <w:rsid w:val="001C3C4C"/>
    <w:rsid w:val="001C3D3A"/>
    <w:rsid w:val="001C47A7"/>
    <w:rsid w:val="001C5104"/>
    <w:rsid w:val="001C610B"/>
    <w:rsid w:val="001C680A"/>
    <w:rsid w:val="001C7759"/>
    <w:rsid w:val="001C7E98"/>
    <w:rsid w:val="001C7F10"/>
    <w:rsid w:val="001D2351"/>
    <w:rsid w:val="001D2914"/>
    <w:rsid w:val="001D2FB0"/>
    <w:rsid w:val="001D3182"/>
    <w:rsid w:val="001D3D3A"/>
    <w:rsid w:val="001D3E12"/>
    <w:rsid w:val="001D44EE"/>
    <w:rsid w:val="001D79D6"/>
    <w:rsid w:val="001E0341"/>
    <w:rsid w:val="001E083C"/>
    <w:rsid w:val="001E0873"/>
    <w:rsid w:val="001E0AE0"/>
    <w:rsid w:val="001E0DD7"/>
    <w:rsid w:val="001E1022"/>
    <w:rsid w:val="001E1C36"/>
    <w:rsid w:val="001E247B"/>
    <w:rsid w:val="001E289B"/>
    <w:rsid w:val="001E35C3"/>
    <w:rsid w:val="001E3C9A"/>
    <w:rsid w:val="001E3D8C"/>
    <w:rsid w:val="001E43EF"/>
    <w:rsid w:val="001E44CD"/>
    <w:rsid w:val="001E5157"/>
    <w:rsid w:val="001E6037"/>
    <w:rsid w:val="001E6F40"/>
    <w:rsid w:val="001E71DA"/>
    <w:rsid w:val="001E7A64"/>
    <w:rsid w:val="001E7B7C"/>
    <w:rsid w:val="001F03A2"/>
    <w:rsid w:val="001F31F0"/>
    <w:rsid w:val="001F3DF5"/>
    <w:rsid w:val="001F3EE6"/>
    <w:rsid w:val="001F4346"/>
    <w:rsid w:val="001F4F2C"/>
    <w:rsid w:val="001F6749"/>
    <w:rsid w:val="001F6845"/>
    <w:rsid w:val="001F7120"/>
    <w:rsid w:val="001F7CD3"/>
    <w:rsid w:val="00200AC1"/>
    <w:rsid w:val="002015FA"/>
    <w:rsid w:val="00201B4D"/>
    <w:rsid w:val="00201FFE"/>
    <w:rsid w:val="0020223A"/>
    <w:rsid w:val="00202C4B"/>
    <w:rsid w:val="00202CF2"/>
    <w:rsid w:val="00203B88"/>
    <w:rsid w:val="00203BB4"/>
    <w:rsid w:val="00203F14"/>
    <w:rsid w:val="00205709"/>
    <w:rsid w:val="0020582E"/>
    <w:rsid w:val="00205A3B"/>
    <w:rsid w:val="00205C59"/>
    <w:rsid w:val="00206380"/>
    <w:rsid w:val="00206F03"/>
    <w:rsid w:val="0020721C"/>
    <w:rsid w:val="00207762"/>
    <w:rsid w:val="00207876"/>
    <w:rsid w:val="002079F4"/>
    <w:rsid w:val="00207AE2"/>
    <w:rsid w:val="00210310"/>
    <w:rsid w:val="0021284E"/>
    <w:rsid w:val="00213AF2"/>
    <w:rsid w:val="0021465F"/>
    <w:rsid w:val="00214750"/>
    <w:rsid w:val="00214B0C"/>
    <w:rsid w:val="0021523E"/>
    <w:rsid w:val="002155FA"/>
    <w:rsid w:val="002156AC"/>
    <w:rsid w:val="00215740"/>
    <w:rsid w:val="0021638A"/>
    <w:rsid w:val="0021688F"/>
    <w:rsid w:val="002176DE"/>
    <w:rsid w:val="002202F0"/>
    <w:rsid w:val="00220855"/>
    <w:rsid w:val="00220CA7"/>
    <w:rsid w:val="00220CCE"/>
    <w:rsid w:val="00220E18"/>
    <w:rsid w:val="00221DFC"/>
    <w:rsid w:val="0022250E"/>
    <w:rsid w:val="00223B64"/>
    <w:rsid w:val="002241BB"/>
    <w:rsid w:val="00225614"/>
    <w:rsid w:val="0022592C"/>
    <w:rsid w:val="002265C4"/>
    <w:rsid w:val="0022687B"/>
    <w:rsid w:val="0023029F"/>
    <w:rsid w:val="00231281"/>
    <w:rsid w:val="00231D00"/>
    <w:rsid w:val="00231DC2"/>
    <w:rsid w:val="00231FF5"/>
    <w:rsid w:val="0023308E"/>
    <w:rsid w:val="002333B7"/>
    <w:rsid w:val="00233AEC"/>
    <w:rsid w:val="002344F2"/>
    <w:rsid w:val="00234971"/>
    <w:rsid w:val="00235CAF"/>
    <w:rsid w:val="002368E4"/>
    <w:rsid w:val="00236A82"/>
    <w:rsid w:val="002376FD"/>
    <w:rsid w:val="0024007A"/>
    <w:rsid w:val="002411AE"/>
    <w:rsid w:val="00241832"/>
    <w:rsid w:val="0024231A"/>
    <w:rsid w:val="0024328C"/>
    <w:rsid w:val="00244282"/>
    <w:rsid w:val="002445F6"/>
    <w:rsid w:val="00244D42"/>
    <w:rsid w:val="00246BB6"/>
    <w:rsid w:val="00246FFA"/>
    <w:rsid w:val="00247076"/>
    <w:rsid w:val="002479EC"/>
    <w:rsid w:val="002529C7"/>
    <w:rsid w:val="00252B94"/>
    <w:rsid w:val="00252BD7"/>
    <w:rsid w:val="00252C14"/>
    <w:rsid w:val="0025342F"/>
    <w:rsid w:val="002538FE"/>
    <w:rsid w:val="00253FB7"/>
    <w:rsid w:val="0025412B"/>
    <w:rsid w:val="002545AA"/>
    <w:rsid w:val="0025499E"/>
    <w:rsid w:val="0025568E"/>
    <w:rsid w:val="00255828"/>
    <w:rsid w:val="00255CF4"/>
    <w:rsid w:val="00255E19"/>
    <w:rsid w:val="00256C2E"/>
    <w:rsid w:val="00256C51"/>
    <w:rsid w:val="00256CBF"/>
    <w:rsid w:val="00256CE6"/>
    <w:rsid w:val="00257233"/>
    <w:rsid w:val="00257485"/>
    <w:rsid w:val="002575F3"/>
    <w:rsid w:val="00260099"/>
    <w:rsid w:val="002601B3"/>
    <w:rsid w:val="00260381"/>
    <w:rsid w:val="00260716"/>
    <w:rsid w:val="00260D91"/>
    <w:rsid w:val="00261183"/>
    <w:rsid w:val="00261421"/>
    <w:rsid w:val="0026193E"/>
    <w:rsid w:val="00261A9C"/>
    <w:rsid w:val="00261AE4"/>
    <w:rsid w:val="00261E11"/>
    <w:rsid w:val="00262518"/>
    <w:rsid w:val="00262CFD"/>
    <w:rsid w:val="00263FF0"/>
    <w:rsid w:val="00266AF7"/>
    <w:rsid w:val="00267038"/>
    <w:rsid w:val="002671EB"/>
    <w:rsid w:val="00270A1C"/>
    <w:rsid w:val="002716F1"/>
    <w:rsid w:val="00271ED8"/>
    <w:rsid w:val="0027225E"/>
    <w:rsid w:val="002724B9"/>
    <w:rsid w:val="002730ED"/>
    <w:rsid w:val="00273F94"/>
    <w:rsid w:val="002740F4"/>
    <w:rsid w:val="0027439E"/>
    <w:rsid w:val="0027549A"/>
    <w:rsid w:val="00275B45"/>
    <w:rsid w:val="00275E1E"/>
    <w:rsid w:val="002764C8"/>
    <w:rsid w:val="00277D4A"/>
    <w:rsid w:val="0028001E"/>
    <w:rsid w:val="00280205"/>
    <w:rsid w:val="00280911"/>
    <w:rsid w:val="00281238"/>
    <w:rsid w:val="00281718"/>
    <w:rsid w:val="00283B44"/>
    <w:rsid w:val="00284BA9"/>
    <w:rsid w:val="00285003"/>
    <w:rsid w:val="002855D0"/>
    <w:rsid w:val="00285B8E"/>
    <w:rsid w:val="00285E49"/>
    <w:rsid w:val="00287173"/>
    <w:rsid w:val="002874B0"/>
    <w:rsid w:val="0028753E"/>
    <w:rsid w:val="002901CA"/>
    <w:rsid w:val="00290AD8"/>
    <w:rsid w:val="00290E18"/>
    <w:rsid w:val="0029146B"/>
    <w:rsid w:val="002919E2"/>
    <w:rsid w:val="00291D54"/>
    <w:rsid w:val="00293693"/>
    <w:rsid w:val="00293A68"/>
    <w:rsid w:val="00293A6E"/>
    <w:rsid w:val="002947E8"/>
    <w:rsid w:val="0029579E"/>
    <w:rsid w:val="00295B07"/>
    <w:rsid w:val="0029620D"/>
    <w:rsid w:val="0029632F"/>
    <w:rsid w:val="00297A88"/>
    <w:rsid w:val="002A031E"/>
    <w:rsid w:val="002A0ABA"/>
    <w:rsid w:val="002A1938"/>
    <w:rsid w:val="002A2748"/>
    <w:rsid w:val="002A53AB"/>
    <w:rsid w:val="002A6BFC"/>
    <w:rsid w:val="002A733C"/>
    <w:rsid w:val="002A777E"/>
    <w:rsid w:val="002B0157"/>
    <w:rsid w:val="002B03E4"/>
    <w:rsid w:val="002B0A7A"/>
    <w:rsid w:val="002B1393"/>
    <w:rsid w:val="002B1546"/>
    <w:rsid w:val="002B24A3"/>
    <w:rsid w:val="002B2820"/>
    <w:rsid w:val="002B2BBC"/>
    <w:rsid w:val="002B3302"/>
    <w:rsid w:val="002B351B"/>
    <w:rsid w:val="002B376D"/>
    <w:rsid w:val="002B3C48"/>
    <w:rsid w:val="002B434C"/>
    <w:rsid w:val="002B4F1D"/>
    <w:rsid w:val="002B510F"/>
    <w:rsid w:val="002B59D1"/>
    <w:rsid w:val="002B5FC9"/>
    <w:rsid w:val="002B646C"/>
    <w:rsid w:val="002B6626"/>
    <w:rsid w:val="002B6CC1"/>
    <w:rsid w:val="002B6DBF"/>
    <w:rsid w:val="002B746A"/>
    <w:rsid w:val="002B7AC7"/>
    <w:rsid w:val="002C0864"/>
    <w:rsid w:val="002C0F12"/>
    <w:rsid w:val="002C1063"/>
    <w:rsid w:val="002C211F"/>
    <w:rsid w:val="002C2F9E"/>
    <w:rsid w:val="002C2FBC"/>
    <w:rsid w:val="002C327A"/>
    <w:rsid w:val="002C4649"/>
    <w:rsid w:val="002C5996"/>
    <w:rsid w:val="002C5CA6"/>
    <w:rsid w:val="002C6AFD"/>
    <w:rsid w:val="002C7F1A"/>
    <w:rsid w:val="002D00AA"/>
    <w:rsid w:val="002D00D8"/>
    <w:rsid w:val="002D044D"/>
    <w:rsid w:val="002D0F0A"/>
    <w:rsid w:val="002D224E"/>
    <w:rsid w:val="002D2428"/>
    <w:rsid w:val="002D2886"/>
    <w:rsid w:val="002D29BE"/>
    <w:rsid w:val="002D32FA"/>
    <w:rsid w:val="002D35FA"/>
    <w:rsid w:val="002D3797"/>
    <w:rsid w:val="002D37AB"/>
    <w:rsid w:val="002D4100"/>
    <w:rsid w:val="002D4BEF"/>
    <w:rsid w:val="002D4E87"/>
    <w:rsid w:val="002D59C7"/>
    <w:rsid w:val="002D5F10"/>
    <w:rsid w:val="002D6195"/>
    <w:rsid w:val="002D6461"/>
    <w:rsid w:val="002D650F"/>
    <w:rsid w:val="002D696A"/>
    <w:rsid w:val="002D6E18"/>
    <w:rsid w:val="002D70E5"/>
    <w:rsid w:val="002D7702"/>
    <w:rsid w:val="002D7DF3"/>
    <w:rsid w:val="002D7ED7"/>
    <w:rsid w:val="002D7FB2"/>
    <w:rsid w:val="002E002E"/>
    <w:rsid w:val="002E02CE"/>
    <w:rsid w:val="002E075E"/>
    <w:rsid w:val="002E09E5"/>
    <w:rsid w:val="002E18AE"/>
    <w:rsid w:val="002E2554"/>
    <w:rsid w:val="002E28F9"/>
    <w:rsid w:val="002E293B"/>
    <w:rsid w:val="002E35BE"/>
    <w:rsid w:val="002E42F9"/>
    <w:rsid w:val="002E4B15"/>
    <w:rsid w:val="002E5564"/>
    <w:rsid w:val="002E5737"/>
    <w:rsid w:val="002E6716"/>
    <w:rsid w:val="002E6A79"/>
    <w:rsid w:val="002E6F31"/>
    <w:rsid w:val="002E7525"/>
    <w:rsid w:val="002F01CA"/>
    <w:rsid w:val="002F02D0"/>
    <w:rsid w:val="002F051D"/>
    <w:rsid w:val="002F10D8"/>
    <w:rsid w:val="002F1163"/>
    <w:rsid w:val="002F176A"/>
    <w:rsid w:val="002F2472"/>
    <w:rsid w:val="002F2924"/>
    <w:rsid w:val="002F3161"/>
    <w:rsid w:val="002F348D"/>
    <w:rsid w:val="002F3840"/>
    <w:rsid w:val="002F42AB"/>
    <w:rsid w:val="002F5404"/>
    <w:rsid w:val="002F5517"/>
    <w:rsid w:val="002F6D5F"/>
    <w:rsid w:val="002F7FDD"/>
    <w:rsid w:val="003006F5"/>
    <w:rsid w:val="003022EE"/>
    <w:rsid w:val="003031CE"/>
    <w:rsid w:val="003035AD"/>
    <w:rsid w:val="00303B22"/>
    <w:rsid w:val="00304D66"/>
    <w:rsid w:val="00305358"/>
    <w:rsid w:val="003056DE"/>
    <w:rsid w:val="00305988"/>
    <w:rsid w:val="0030650B"/>
    <w:rsid w:val="00306D77"/>
    <w:rsid w:val="00307121"/>
    <w:rsid w:val="0031007B"/>
    <w:rsid w:val="00310651"/>
    <w:rsid w:val="003110B2"/>
    <w:rsid w:val="0031151D"/>
    <w:rsid w:val="003129ED"/>
    <w:rsid w:val="00312C1A"/>
    <w:rsid w:val="00312DD1"/>
    <w:rsid w:val="00312FA7"/>
    <w:rsid w:val="00313308"/>
    <w:rsid w:val="00313842"/>
    <w:rsid w:val="00313F29"/>
    <w:rsid w:val="003144CA"/>
    <w:rsid w:val="003144D5"/>
    <w:rsid w:val="0031485B"/>
    <w:rsid w:val="00314EB3"/>
    <w:rsid w:val="00315153"/>
    <w:rsid w:val="00315436"/>
    <w:rsid w:val="00315BB8"/>
    <w:rsid w:val="00315C63"/>
    <w:rsid w:val="00316244"/>
    <w:rsid w:val="00316503"/>
    <w:rsid w:val="00316AE0"/>
    <w:rsid w:val="003171FD"/>
    <w:rsid w:val="00317CC1"/>
    <w:rsid w:val="00321077"/>
    <w:rsid w:val="00321CA4"/>
    <w:rsid w:val="00322390"/>
    <w:rsid w:val="00322EDB"/>
    <w:rsid w:val="003230FF"/>
    <w:rsid w:val="00323AB0"/>
    <w:rsid w:val="00324CCD"/>
    <w:rsid w:val="00324EF2"/>
    <w:rsid w:val="00325779"/>
    <w:rsid w:val="00326058"/>
    <w:rsid w:val="003268BB"/>
    <w:rsid w:val="003273E1"/>
    <w:rsid w:val="00327DB6"/>
    <w:rsid w:val="00330072"/>
    <w:rsid w:val="00330B4E"/>
    <w:rsid w:val="0033176D"/>
    <w:rsid w:val="003319D9"/>
    <w:rsid w:val="00331B74"/>
    <w:rsid w:val="00331DEF"/>
    <w:rsid w:val="003327CA"/>
    <w:rsid w:val="0033298A"/>
    <w:rsid w:val="00332B9C"/>
    <w:rsid w:val="0033386B"/>
    <w:rsid w:val="00333D6C"/>
    <w:rsid w:val="003342B8"/>
    <w:rsid w:val="0033491E"/>
    <w:rsid w:val="00335177"/>
    <w:rsid w:val="00335B60"/>
    <w:rsid w:val="00336046"/>
    <w:rsid w:val="00337A36"/>
    <w:rsid w:val="00340AAF"/>
    <w:rsid w:val="00340AB8"/>
    <w:rsid w:val="003410BF"/>
    <w:rsid w:val="00342074"/>
    <w:rsid w:val="00343150"/>
    <w:rsid w:val="00343356"/>
    <w:rsid w:val="00343500"/>
    <w:rsid w:val="003436BE"/>
    <w:rsid w:val="00343AF2"/>
    <w:rsid w:val="00343DFA"/>
    <w:rsid w:val="00343E87"/>
    <w:rsid w:val="00344A18"/>
    <w:rsid w:val="00344D0E"/>
    <w:rsid w:val="003459C1"/>
    <w:rsid w:val="00345F8E"/>
    <w:rsid w:val="00345FC0"/>
    <w:rsid w:val="0034608E"/>
    <w:rsid w:val="003469FC"/>
    <w:rsid w:val="00346AB8"/>
    <w:rsid w:val="00347039"/>
    <w:rsid w:val="00347800"/>
    <w:rsid w:val="00347A1E"/>
    <w:rsid w:val="00347E12"/>
    <w:rsid w:val="003503C9"/>
    <w:rsid w:val="003504B5"/>
    <w:rsid w:val="00350831"/>
    <w:rsid w:val="0035095E"/>
    <w:rsid w:val="00351041"/>
    <w:rsid w:val="00351770"/>
    <w:rsid w:val="0035296C"/>
    <w:rsid w:val="003531D4"/>
    <w:rsid w:val="003535C5"/>
    <w:rsid w:val="00353CBC"/>
    <w:rsid w:val="003546A6"/>
    <w:rsid w:val="00354915"/>
    <w:rsid w:val="00354AF8"/>
    <w:rsid w:val="00354E6F"/>
    <w:rsid w:val="0035645E"/>
    <w:rsid w:val="003566AB"/>
    <w:rsid w:val="00357619"/>
    <w:rsid w:val="003577BE"/>
    <w:rsid w:val="00362FCF"/>
    <w:rsid w:val="00363C85"/>
    <w:rsid w:val="003645A1"/>
    <w:rsid w:val="0036468F"/>
    <w:rsid w:val="00364F5A"/>
    <w:rsid w:val="00364FF8"/>
    <w:rsid w:val="0036651C"/>
    <w:rsid w:val="00366961"/>
    <w:rsid w:val="00366993"/>
    <w:rsid w:val="00366BCA"/>
    <w:rsid w:val="00367206"/>
    <w:rsid w:val="003677EE"/>
    <w:rsid w:val="00367B0D"/>
    <w:rsid w:val="00370E0A"/>
    <w:rsid w:val="00371876"/>
    <w:rsid w:val="00371994"/>
    <w:rsid w:val="003721AF"/>
    <w:rsid w:val="00372C00"/>
    <w:rsid w:val="00372E14"/>
    <w:rsid w:val="00373399"/>
    <w:rsid w:val="003737D0"/>
    <w:rsid w:val="00373D4E"/>
    <w:rsid w:val="0037434A"/>
    <w:rsid w:val="003754F5"/>
    <w:rsid w:val="003758A0"/>
    <w:rsid w:val="00376320"/>
    <w:rsid w:val="003767E6"/>
    <w:rsid w:val="003809BC"/>
    <w:rsid w:val="00380D7D"/>
    <w:rsid w:val="003810AF"/>
    <w:rsid w:val="0038152A"/>
    <w:rsid w:val="003818B9"/>
    <w:rsid w:val="00381B58"/>
    <w:rsid w:val="00382185"/>
    <w:rsid w:val="003823D9"/>
    <w:rsid w:val="0038249E"/>
    <w:rsid w:val="0038280C"/>
    <w:rsid w:val="00382CC3"/>
    <w:rsid w:val="00382FAE"/>
    <w:rsid w:val="003832DC"/>
    <w:rsid w:val="00384496"/>
    <w:rsid w:val="00384541"/>
    <w:rsid w:val="00384746"/>
    <w:rsid w:val="00385B44"/>
    <w:rsid w:val="00385C87"/>
    <w:rsid w:val="00386AB2"/>
    <w:rsid w:val="00387F14"/>
    <w:rsid w:val="00390101"/>
    <w:rsid w:val="00390616"/>
    <w:rsid w:val="00391402"/>
    <w:rsid w:val="00391F87"/>
    <w:rsid w:val="00392A8F"/>
    <w:rsid w:val="00392C6D"/>
    <w:rsid w:val="00393338"/>
    <w:rsid w:val="00393A40"/>
    <w:rsid w:val="00394068"/>
    <w:rsid w:val="00394375"/>
    <w:rsid w:val="0039490D"/>
    <w:rsid w:val="0039492C"/>
    <w:rsid w:val="00394AE2"/>
    <w:rsid w:val="00394DAA"/>
    <w:rsid w:val="00394E6C"/>
    <w:rsid w:val="00394F04"/>
    <w:rsid w:val="00394FC5"/>
    <w:rsid w:val="003962B1"/>
    <w:rsid w:val="00396952"/>
    <w:rsid w:val="00397C52"/>
    <w:rsid w:val="003A0273"/>
    <w:rsid w:val="003A150D"/>
    <w:rsid w:val="003A1776"/>
    <w:rsid w:val="003A1F81"/>
    <w:rsid w:val="003A227D"/>
    <w:rsid w:val="003A2A06"/>
    <w:rsid w:val="003A2BE1"/>
    <w:rsid w:val="003A3ACC"/>
    <w:rsid w:val="003A4854"/>
    <w:rsid w:val="003A4B02"/>
    <w:rsid w:val="003A4C78"/>
    <w:rsid w:val="003A4F8F"/>
    <w:rsid w:val="003A5159"/>
    <w:rsid w:val="003A54C8"/>
    <w:rsid w:val="003A552B"/>
    <w:rsid w:val="003A5AA6"/>
    <w:rsid w:val="003A5C5C"/>
    <w:rsid w:val="003A7404"/>
    <w:rsid w:val="003A7F66"/>
    <w:rsid w:val="003B02B2"/>
    <w:rsid w:val="003B132E"/>
    <w:rsid w:val="003B139B"/>
    <w:rsid w:val="003B1E49"/>
    <w:rsid w:val="003B2A15"/>
    <w:rsid w:val="003B339F"/>
    <w:rsid w:val="003B3A50"/>
    <w:rsid w:val="003B3F24"/>
    <w:rsid w:val="003B41B3"/>
    <w:rsid w:val="003B448B"/>
    <w:rsid w:val="003B47C6"/>
    <w:rsid w:val="003B5EDC"/>
    <w:rsid w:val="003B60A8"/>
    <w:rsid w:val="003B64EB"/>
    <w:rsid w:val="003B6716"/>
    <w:rsid w:val="003B6C61"/>
    <w:rsid w:val="003B774C"/>
    <w:rsid w:val="003B79ED"/>
    <w:rsid w:val="003B7E6D"/>
    <w:rsid w:val="003C1161"/>
    <w:rsid w:val="003C131E"/>
    <w:rsid w:val="003C1384"/>
    <w:rsid w:val="003C1B7B"/>
    <w:rsid w:val="003C2AAE"/>
    <w:rsid w:val="003C30AD"/>
    <w:rsid w:val="003C3E62"/>
    <w:rsid w:val="003C4574"/>
    <w:rsid w:val="003C63EE"/>
    <w:rsid w:val="003C7BB3"/>
    <w:rsid w:val="003C7CA2"/>
    <w:rsid w:val="003D01E0"/>
    <w:rsid w:val="003D0EF8"/>
    <w:rsid w:val="003D1455"/>
    <w:rsid w:val="003D14B3"/>
    <w:rsid w:val="003D1700"/>
    <w:rsid w:val="003D2206"/>
    <w:rsid w:val="003D2B72"/>
    <w:rsid w:val="003D2E31"/>
    <w:rsid w:val="003D34E8"/>
    <w:rsid w:val="003D3A66"/>
    <w:rsid w:val="003D3C61"/>
    <w:rsid w:val="003D3F1E"/>
    <w:rsid w:val="003D42C7"/>
    <w:rsid w:val="003D436B"/>
    <w:rsid w:val="003D4853"/>
    <w:rsid w:val="003D5D8D"/>
    <w:rsid w:val="003D5DB1"/>
    <w:rsid w:val="003D6641"/>
    <w:rsid w:val="003D7765"/>
    <w:rsid w:val="003E0111"/>
    <w:rsid w:val="003E1518"/>
    <w:rsid w:val="003E2673"/>
    <w:rsid w:val="003E42F6"/>
    <w:rsid w:val="003E4599"/>
    <w:rsid w:val="003E48E7"/>
    <w:rsid w:val="003E50A8"/>
    <w:rsid w:val="003E5345"/>
    <w:rsid w:val="003E66AA"/>
    <w:rsid w:val="003E6B1A"/>
    <w:rsid w:val="003E6BF7"/>
    <w:rsid w:val="003E6C81"/>
    <w:rsid w:val="003E72C6"/>
    <w:rsid w:val="003E744C"/>
    <w:rsid w:val="003E76F1"/>
    <w:rsid w:val="003E7765"/>
    <w:rsid w:val="003E7C95"/>
    <w:rsid w:val="003E7D68"/>
    <w:rsid w:val="003F00AA"/>
    <w:rsid w:val="003F1437"/>
    <w:rsid w:val="003F1B22"/>
    <w:rsid w:val="003F1C70"/>
    <w:rsid w:val="003F2A26"/>
    <w:rsid w:val="003F3365"/>
    <w:rsid w:val="003F34BE"/>
    <w:rsid w:val="003F381F"/>
    <w:rsid w:val="003F39E3"/>
    <w:rsid w:val="003F3E0C"/>
    <w:rsid w:val="003F448B"/>
    <w:rsid w:val="003F58F6"/>
    <w:rsid w:val="003F5A07"/>
    <w:rsid w:val="003F5D93"/>
    <w:rsid w:val="003F6316"/>
    <w:rsid w:val="003F6882"/>
    <w:rsid w:val="003F6FEC"/>
    <w:rsid w:val="0040070D"/>
    <w:rsid w:val="00401149"/>
    <w:rsid w:val="0040122B"/>
    <w:rsid w:val="00401C3E"/>
    <w:rsid w:val="00401C40"/>
    <w:rsid w:val="004024CE"/>
    <w:rsid w:val="00402720"/>
    <w:rsid w:val="00402985"/>
    <w:rsid w:val="00402D1F"/>
    <w:rsid w:val="00403F39"/>
    <w:rsid w:val="00404DAA"/>
    <w:rsid w:val="004057F1"/>
    <w:rsid w:val="00405F89"/>
    <w:rsid w:val="00406593"/>
    <w:rsid w:val="004069B2"/>
    <w:rsid w:val="00410408"/>
    <w:rsid w:val="004104B8"/>
    <w:rsid w:val="00410F4F"/>
    <w:rsid w:val="004112E0"/>
    <w:rsid w:val="004123CB"/>
    <w:rsid w:val="00412671"/>
    <w:rsid w:val="00413229"/>
    <w:rsid w:val="00413BAE"/>
    <w:rsid w:val="00413C98"/>
    <w:rsid w:val="00413CE3"/>
    <w:rsid w:val="00413D6F"/>
    <w:rsid w:val="004140B4"/>
    <w:rsid w:val="00415371"/>
    <w:rsid w:val="00415C07"/>
    <w:rsid w:val="00416D99"/>
    <w:rsid w:val="00420080"/>
    <w:rsid w:val="00420099"/>
    <w:rsid w:val="00420526"/>
    <w:rsid w:val="00421D73"/>
    <w:rsid w:val="004228A3"/>
    <w:rsid w:val="004229AC"/>
    <w:rsid w:val="004232CF"/>
    <w:rsid w:val="00423D3B"/>
    <w:rsid w:val="004245A3"/>
    <w:rsid w:val="00424A48"/>
    <w:rsid w:val="00426A0C"/>
    <w:rsid w:val="004274EC"/>
    <w:rsid w:val="00427917"/>
    <w:rsid w:val="00430072"/>
    <w:rsid w:val="004302CD"/>
    <w:rsid w:val="00430471"/>
    <w:rsid w:val="004304D4"/>
    <w:rsid w:val="004314A4"/>
    <w:rsid w:val="004319F4"/>
    <w:rsid w:val="00431D32"/>
    <w:rsid w:val="00432418"/>
    <w:rsid w:val="00432426"/>
    <w:rsid w:val="004337EF"/>
    <w:rsid w:val="0043483D"/>
    <w:rsid w:val="00435CCF"/>
    <w:rsid w:val="00436125"/>
    <w:rsid w:val="00436238"/>
    <w:rsid w:val="00436E2E"/>
    <w:rsid w:val="004376BA"/>
    <w:rsid w:val="004378D3"/>
    <w:rsid w:val="00437EF1"/>
    <w:rsid w:val="00440000"/>
    <w:rsid w:val="00440A25"/>
    <w:rsid w:val="00441789"/>
    <w:rsid w:val="00441EB5"/>
    <w:rsid w:val="004427E9"/>
    <w:rsid w:val="00442B01"/>
    <w:rsid w:val="0044341B"/>
    <w:rsid w:val="004436A0"/>
    <w:rsid w:val="00443814"/>
    <w:rsid w:val="00443D84"/>
    <w:rsid w:val="004442F9"/>
    <w:rsid w:val="00444390"/>
    <w:rsid w:val="00444F7D"/>
    <w:rsid w:val="00445007"/>
    <w:rsid w:val="0044518B"/>
    <w:rsid w:val="00445C97"/>
    <w:rsid w:val="004463DD"/>
    <w:rsid w:val="00446A9B"/>
    <w:rsid w:val="0044708B"/>
    <w:rsid w:val="00447762"/>
    <w:rsid w:val="00450ED5"/>
    <w:rsid w:val="00450FC0"/>
    <w:rsid w:val="00451061"/>
    <w:rsid w:val="00451756"/>
    <w:rsid w:val="00451B0C"/>
    <w:rsid w:val="00452AE3"/>
    <w:rsid w:val="00453231"/>
    <w:rsid w:val="0045349F"/>
    <w:rsid w:val="00453750"/>
    <w:rsid w:val="00453819"/>
    <w:rsid w:val="00454051"/>
    <w:rsid w:val="004556B9"/>
    <w:rsid w:val="00455B8A"/>
    <w:rsid w:val="00456668"/>
    <w:rsid w:val="00457533"/>
    <w:rsid w:val="00457E53"/>
    <w:rsid w:val="0046088D"/>
    <w:rsid w:val="00460FF4"/>
    <w:rsid w:val="004610D1"/>
    <w:rsid w:val="004615E1"/>
    <w:rsid w:val="004617CA"/>
    <w:rsid w:val="00462F02"/>
    <w:rsid w:val="00463A48"/>
    <w:rsid w:val="004653EB"/>
    <w:rsid w:val="0046650B"/>
    <w:rsid w:val="0046696C"/>
    <w:rsid w:val="00466C57"/>
    <w:rsid w:val="00466D33"/>
    <w:rsid w:val="00466E6B"/>
    <w:rsid w:val="00466EDC"/>
    <w:rsid w:val="00467368"/>
    <w:rsid w:val="00467D25"/>
    <w:rsid w:val="004700AE"/>
    <w:rsid w:val="00470697"/>
    <w:rsid w:val="00470978"/>
    <w:rsid w:val="0047114B"/>
    <w:rsid w:val="0047305C"/>
    <w:rsid w:val="004730F3"/>
    <w:rsid w:val="00473667"/>
    <w:rsid w:val="0047403A"/>
    <w:rsid w:val="00474161"/>
    <w:rsid w:val="00474C10"/>
    <w:rsid w:val="00474C36"/>
    <w:rsid w:val="00475E38"/>
    <w:rsid w:val="004765CE"/>
    <w:rsid w:val="004779AB"/>
    <w:rsid w:val="00477C8D"/>
    <w:rsid w:val="0048006F"/>
    <w:rsid w:val="0048038C"/>
    <w:rsid w:val="0048218E"/>
    <w:rsid w:val="00482BBB"/>
    <w:rsid w:val="0048429C"/>
    <w:rsid w:val="00484DA7"/>
    <w:rsid w:val="00485114"/>
    <w:rsid w:val="00485AE4"/>
    <w:rsid w:val="00485C10"/>
    <w:rsid w:val="00485CA8"/>
    <w:rsid w:val="00486111"/>
    <w:rsid w:val="00486739"/>
    <w:rsid w:val="00486C38"/>
    <w:rsid w:val="004875BF"/>
    <w:rsid w:val="0048765B"/>
    <w:rsid w:val="004877CC"/>
    <w:rsid w:val="004916AB"/>
    <w:rsid w:val="0049176F"/>
    <w:rsid w:val="00491EC0"/>
    <w:rsid w:val="0049262C"/>
    <w:rsid w:val="00492EA5"/>
    <w:rsid w:val="00493247"/>
    <w:rsid w:val="00493517"/>
    <w:rsid w:val="00493839"/>
    <w:rsid w:val="00494F9E"/>
    <w:rsid w:val="004954D3"/>
    <w:rsid w:val="004967E9"/>
    <w:rsid w:val="00497690"/>
    <w:rsid w:val="004A0053"/>
    <w:rsid w:val="004A04CE"/>
    <w:rsid w:val="004A0C0B"/>
    <w:rsid w:val="004A0E18"/>
    <w:rsid w:val="004A124B"/>
    <w:rsid w:val="004A1E84"/>
    <w:rsid w:val="004A2687"/>
    <w:rsid w:val="004A3178"/>
    <w:rsid w:val="004A371B"/>
    <w:rsid w:val="004A3DE5"/>
    <w:rsid w:val="004A3E27"/>
    <w:rsid w:val="004A402F"/>
    <w:rsid w:val="004A49F4"/>
    <w:rsid w:val="004A4F4E"/>
    <w:rsid w:val="004A5614"/>
    <w:rsid w:val="004A5C0B"/>
    <w:rsid w:val="004A5C1C"/>
    <w:rsid w:val="004A64EE"/>
    <w:rsid w:val="004A650E"/>
    <w:rsid w:val="004A6CC2"/>
    <w:rsid w:val="004A6D9F"/>
    <w:rsid w:val="004A6EFA"/>
    <w:rsid w:val="004A712C"/>
    <w:rsid w:val="004B0975"/>
    <w:rsid w:val="004B12D7"/>
    <w:rsid w:val="004B293F"/>
    <w:rsid w:val="004B2B05"/>
    <w:rsid w:val="004B2BBA"/>
    <w:rsid w:val="004B4203"/>
    <w:rsid w:val="004B4E02"/>
    <w:rsid w:val="004B5502"/>
    <w:rsid w:val="004B558C"/>
    <w:rsid w:val="004B582B"/>
    <w:rsid w:val="004B5EB1"/>
    <w:rsid w:val="004B6256"/>
    <w:rsid w:val="004B69AA"/>
    <w:rsid w:val="004B71F4"/>
    <w:rsid w:val="004B7494"/>
    <w:rsid w:val="004B76B6"/>
    <w:rsid w:val="004B7DCB"/>
    <w:rsid w:val="004C09E5"/>
    <w:rsid w:val="004C0B5E"/>
    <w:rsid w:val="004C1004"/>
    <w:rsid w:val="004C16C3"/>
    <w:rsid w:val="004C16F8"/>
    <w:rsid w:val="004C250B"/>
    <w:rsid w:val="004C328A"/>
    <w:rsid w:val="004C38B7"/>
    <w:rsid w:val="004C416C"/>
    <w:rsid w:val="004C4663"/>
    <w:rsid w:val="004C46D1"/>
    <w:rsid w:val="004C4863"/>
    <w:rsid w:val="004C4D8C"/>
    <w:rsid w:val="004C5C60"/>
    <w:rsid w:val="004C6366"/>
    <w:rsid w:val="004C63EE"/>
    <w:rsid w:val="004C6B28"/>
    <w:rsid w:val="004D072D"/>
    <w:rsid w:val="004D07C1"/>
    <w:rsid w:val="004D1073"/>
    <w:rsid w:val="004D1EE6"/>
    <w:rsid w:val="004D2143"/>
    <w:rsid w:val="004D238B"/>
    <w:rsid w:val="004D2BAF"/>
    <w:rsid w:val="004D39A3"/>
    <w:rsid w:val="004D3CA8"/>
    <w:rsid w:val="004D4270"/>
    <w:rsid w:val="004D42E2"/>
    <w:rsid w:val="004D61D1"/>
    <w:rsid w:val="004D6E7C"/>
    <w:rsid w:val="004D7034"/>
    <w:rsid w:val="004D73B6"/>
    <w:rsid w:val="004D7750"/>
    <w:rsid w:val="004D7E34"/>
    <w:rsid w:val="004E041A"/>
    <w:rsid w:val="004E06BE"/>
    <w:rsid w:val="004E19E7"/>
    <w:rsid w:val="004E24F3"/>
    <w:rsid w:val="004E2B25"/>
    <w:rsid w:val="004E2CDF"/>
    <w:rsid w:val="004E2E28"/>
    <w:rsid w:val="004E2E51"/>
    <w:rsid w:val="004E3098"/>
    <w:rsid w:val="004E348E"/>
    <w:rsid w:val="004E385E"/>
    <w:rsid w:val="004E3A45"/>
    <w:rsid w:val="004E3B7D"/>
    <w:rsid w:val="004E3C7C"/>
    <w:rsid w:val="004E3E3E"/>
    <w:rsid w:val="004E3F31"/>
    <w:rsid w:val="004E43B7"/>
    <w:rsid w:val="004E4863"/>
    <w:rsid w:val="004E48AC"/>
    <w:rsid w:val="004E5219"/>
    <w:rsid w:val="004E5753"/>
    <w:rsid w:val="004E5B16"/>
    <w:rsid w:val="004E5D0A"/>
    <w:rsid w:val="004E751D"/>
    <w:rsid w:val="004E7DA7"/>
    <w:rsid w:val="004F04BC"/>
    <w:rsid w:val="004F10CA"/>
    <w:rsid w:val="004F1824"/>
    <w:rsid w:val="004F3418"/>
    <w:rsid w:val="004F349A"/>
    <w:rsid w:val="004F3712"/>
    <w:rsid w:val="004F40D2"/>
    <w:rsid w:val="004F4580"/>
    <w:rsid w:val="004F4675"/>
    <w:rsid w:val="004F557E"/>
    <w:rsid w:val="004F56F6"/>
    <w:rsid w:val="004F5C3D"/>
    <w:rsid w:val="004F6803"/>
    <w:rsid w:val="00501570"/>
    <w:rsid w:val="005017DA"/>
    <w:rsid w:val="00501E2B"/>
    <w:rsid w:val="00502377"/>
    <w:rsid w:val="0050334B"/>
    <w:rsid w:val="005033D0"/>
    <w:rsid w:val="0050370C"/>
    <w:rsid w:val="0050379B"/>
    <w:rsid w:val="00503806"/>
    <w:rsid w:val="0050411A"/>
    <w:rsid w:val="00504157"/>
    <w:rsid w:val="00504C14"/>
    <w:rsid w:val="0050619E"/>
    <w:rsid w:val="005069E2"/>
    <w:rsid w:val="00506B0D"/>
    <w:rsid w:val="00506BCB"/>
    <w:rsid w:val="00507717"/>
    <w:rsid w:val="0051029C"/>
    <w:rsid w:val="00510420"/>
    <w:rsid w:val="00510BE0"/>
    <w:rsid w:val="00511825"/>
    <w:rsid w:val="005119F4"/>
    <w:rsid w:val="00511CE2"/>
    <w:rsid w:val="0051390C"/>
    <w:rsid w:val="00513AE4"/>
    <w:rsid w:val="005146EB"/>
    <w:rsid w:val="0051484C"/>
    <w:rsid w:val="0051529F"/>
    <w:rsid w:val="005153FD"/>
    <w:rsid w:val="0051675A"/>
    <w:rsid w:val="00516E5B"/>
    <w:rsid w:val="00516E91"/>
    <w:rsid w:val="0051760C"/>
    <w:rsid w:val="0051777B"/>
    <w:rsid w:val="005178E3"/>
    <w:rsid w:val="00517DC0"/>
    <w:rsid w:val="00517FF2"/>
    <w:rsid w:val="0052106B"/>
    <w:rsid w:val="005214BE"/>
    <w:rsid w:val="00521630"/>
    <w:rsid w:val="005219AA"/>
    <w:rsid w:val="00522736"/>
    <w:rsid w:val="00522A90"/>
    <w:rsid w:val="00523533"/>
    <w:rsid w:val="00523BBE"/>
    <w:rsid w:val="005243BD"/>
    <w:rsid w:val="00524863"/>
    <w:rsid w:val="00525585"/>
    <w:rsid w:val="0052593E"/>
    <w:rsid w:val="00525BAC"/>
    <w:rsid w:val="0052657B"/>
    <w:rsid w:val="00526EA7"/>
    <w:rsid w:val="005313F1"/>
    <w:rsid w:val="0053191C"/>
    <w:rsid w:val="00533EEE"/>
    <w:rsid w:val="00534869"/>
    <w:rsid w:val="00535557"/>
    <w:rsid w:val="00535E63"/>
    <w:rsid w:val="0053626E"/>
    <w:rsid w:val="0053653D"/>
    <w:rsid w:val="00536C63"/>
    <w:rsid w:val="005371D2"/>
    <w:rsid w:val="00537528"/>
    <w:rsid w:val="005408AE"/>
    <w:rsid w:val="0054185B"/>
    <w:rsid w:val="00541869"/>
    <w:rsid w:val="005420BC"/>
    <w:rsid w:val="0054232E"/>
    <w:rsid w:val="00542643"/>
    <w:rsid w:val="00542ED7"/>
    <w:rsid w:val="005447C3"/>
    <w:rsid w:val="00544974"/>
    <w:rsid w:val="00544D96"/>
    <w:rsid w:val="00545631"/>
    <w:rsid w:val="00545A76"/>
    <w:rsid w:val="005473C5"/>
    <w:rsid w:val="00547D46"/>
    <w:rsid w:val="005500F3"/>
    <w:rsid w:val="005506C7"/>
    <w:rsid w:val="005514AA"/>
    <w:rsid w:val="00553044"/>
    <w:rsid w:val="00553234"/>
    <w:rsid w:val="0055345C"/>
    <w:rsid w:val="0055402E"/>
    <w:rsid w:val="00554887"/>
    <w:rsid w:val="00555882"/>
    <w:rsid w:val="00555CA2"/>
    <w:rsid w:val="0055647C"/>
    <w:rsid w:val="00556601"/>
    <w:rsid w:val="0055689F"/>
    <w:rsid w:val="00556FED"/>
    <w:rsid w:val="0055708E"/>
    <w:rsid w:val="005571E5"/>
    <w:rsid w:val="0055779A"/>
    <w:rsid w:val="005600D8"/>
    <w:rsid w:val="00560353"/>
    <w:rsid w:val="00561349"/>
    <w:rsid w:val="005632F1"/>
    <w:rsid w:val="005657FC"/>
    <w:rsid w:val="00567054"/>
    <w:rsid w:val="005678D6"/>
    <w:rsid w:val="00567A9A"/>
    <w:rsid w:val="00570214"/>
    <w:rsid w:val="00570FEC"/>
    <w:rsid w:val="00571422"/>
    <w:rsid w:val="00571A8C"/>
    <w:rsid w:val="00571C23"/>
    <w:rsid w:val="00571FE8"/>
    <w:rsid w:val="0057377D"/>
    <w:rsid w:val="00573994"/>
    <w:rsid w:val="00573F62"/>
    <w:rsid w:val="0057500A"/>
    <w:rsid w:val="00575909"/>
    <w:rsid w:val="00576C6B"/>
    <w:rsid w:val="00576CDF"/>
    <w:rsid w:val="00576CE0"/>
    <w:rsid w:val="005770AB"/>
    <w:rsid w:val="00580EE9"/>
    <w:rsid w:val="00580F45"/>
    <w:rsid w:val="00581401"/>
    <w:rsid w:val="00581A08"/>
    <w:rsid w:val="00581FA8"/>
    <w:rsid w:val="005820B6"/>
    <w:rsid w:val="005823F1"/>
    <w:rsid w:val="00583043"/>
    <w:rsid w:val="00583192"/>
    <w:rsid w:val="005834FF"/>
    <w:rsid w:val="00583587"/>
    <w:rsid w:val="00583598"/>
    <w:rsid w:val="005838C4"/>
    <w:rsid w:val="0058415F"/>
    <w:rsid w:val="00584EAA"/>
    <w:rsid w:val="005850D9"/>
    <w:rsid w:val="00585120"/>
    <w:rsid w:val="00585322"/>
    <w:rsid w:val="00585E04"/>
    <w:rsid w:val="00585E35"/>
    <w:rsid w:val="005867C6"/>
    <w:rsid w:val="00587244"/>
    <w:rsid w:val="00587C35"/>
    <w:rsid w:val="00590162"/>
    <w:rsid w:val="005910DD"/>
    <w:rsid w:val="00592400"/>
    <w:rsid w:val="0059398C"/>
    <w:rsid w:val="005940C1"/>
    <w:rsid w:val="0059439F"/>
    <w:rsid w:val="005946AD"/>
    <w:rsid w:val="0059477F"/>
    <w:rsid w:val="0059521E"/>
    <w:rsid w:val="0059566C"/>
    <w:rsid w:val="0059585E"/>
    <w:rsid w:val="00597619"/>
    <w:rsid w:val="005977B1"/>
    <w:rsid w:val="005A0D6B"/>
    <w:rsid w:val="005A163B"/>
    <w:rsid w:val="005A1AAB"/>
    <w:rsid w:val="005A1FE2"/>
    <w:rsid w:val="005A3156"/>
    <w:rsid w:val="005A41D7"/>
    <w:rsid w:val="005A466E"/>
    <w:rsid w:val="005A4BA9"/>
    <w:rsid w:val="005A517D"/>
    <w:rsid w:val="005A53DF"/>
    <w:rsid w:val="005A5AB4"/>
    <w:rsid w:val="005A6185"/>
    <w:rsid w:val="005A6354"/>
    <w:rsid w:val="005B00AD"/>
    <w:rsid w:val="005B052E"/>
    <w:rsid w:val="005B0680"/>
    <w:rsid w:val="005B0914"/>
    <w:rsid w:val="005B1892"/>
    <w:rsid w:val="005B2108"/>
    <w:rsid w:val="005B220B"/>
    <w:rsid w:val="005B22E1"/>
    <w:rsid w:val="005B2460"/>
    <w:rsid w:val="005B2CB7"/>
    <w:rsid w:val="005B2D7C"/>
    <w:rsid w:val="005B2E19"/>
    <w:rsid w:val="005B32FE"/>
    <w:rsid w:val="005B3D31"/>
    <w:rsid w:val="005B432F"/>
    <w:rsid w:val="005B450B"/>
    <w:rsid w:val="005B5226"/>
    <w:rsid w:val="005B6281"/>
    <w:rsid w:val="005B66D2"/>
    <w:rsid w:val="005B6A2A"/>
    <w:rsid w:val="005B6B78"/>
    <w:rsid w:val="005B7481"/>
    <w:rsid w:val="005B7842"/>
    <w:rsid w:val="005B7E38"/>
    <w:rsid w:val="005C0191"/>
    <w:rsid w:val="005C022E"/>
    <w:rsid w:val="005C0A90"/>
    <w:rsid w:val="005C1071"/>
    <w:rsid w:val="005C1903"/>
    <w:rsid w:val="005C1AC7"/>
    <w:rsid w:val="005C20A4"/>
    <w:rsid w:val="005C229D"/>
    <w:rsid w:val="005C2356"/>
    <w:rsid w:val="005C3264"/>
    <w:rsid w:val="005C3341"/>
    <w:rsid w:val="005C34C2"/>
    <w:rsid w:val="005C3515"/>
    <w:rsid w:val="005C427C"/>
    <w:rsid w:val="005C43BB"/>
    <w:rsid w:val="005C4912"/>
    <w:rsid w:val="005C491E"/>
    <w:rsid w:val="005C4B1B"/>
    <w:rsid w:val="005C522C"/>
    <w:rsid w:val="005C59B9"/>
    <w:rsid w:val="005C5E69"/>
    <w:rsid w:val="005C62ED"/>
    <w:rsid w:val="005C71FD"/>
    <w:rsid w:val="005C7431"/>
    <w:rsid w:val="005C7C28"/>
    <w:rsid w:val="005D010D"/>
    <w:rsid w:val="005D24BB"/>
    <w:rsid w:val="005D2906"/>
    <w:rsid w:val="005D3148"/>
    <w:rsid w:val="005D3F16"/>
    <w:rsid w:val="005D51D4"/>
    <w:rsid w:val="005D5711"/>
    <w:rsid w:val="005D57F1"/>
    <w:rsid w:val="005D60CE"/>
    <w:rsid w:val="005D680C"/>
    <w:rsid w:val="005D7BC3"/>
    <w:rsid w:val="005E06D2"/>
    <w:rsid w:val="005E06D3"/>
    <w:rsid w:val="005E0B13"/>
    <w:rsid w:val="005E1B76"/>
    <w:rsid w:val="005E1FE5"/>
    <w:rsid w:val="005E27C0"/>
    <w:rsid w:val="005E4F1C"/>
    <w:rsid w:val="005E5520"/>
    <w:rsid w:val="005E5536"/>
    <w:rsid w:val="005E720E"/>
    <w:rsid w:val="005E7AC2"/>
    <w:rsid w:val="005E7B04"/>
    <w:rsid w:val="005E7CD0"/>
    <w:rsid w:val="005F05DE"/>
    <w:rsid w:val="005F07F0"/>
    <w:rsid w:val="005F097D"/>
    <w:rsid w:val="005F0C90"/>
    <w:rsid w:val="005F1004"/>
    <w:rsid w:val="005F1012"/>
    <w:rsid w:val="005F11CD"/>
    <w:rsid w:val="005F1D24"/>
    <w:rsid w:val="005F1FAE"/>
    <w:rsid w:val="005F3A98"/>
    <w:rsid w:val="005F42AD"/>
    <w:rsid w:val="005F47C5"/>
    <w:rsid w:val="005F4E40"/>
    <w:rsid w:val="005F56A6"/>
    <w:rsid w:val="005F6041"/>
    <w:rsid w:val="005F68F7"/>
    <w:rsid w:val="005F6C58"/>
    <w:rsid w:val="005F782D"/>
    <w:rsid w:val="005F7D6C"/>
    <w:rsid w:val="005F7E99"/>
    <w:rsid w:val="0060039A"/>
    <w:rsid w:val="00600BBB"/>
    <w:rsid w:val="00600F6E"/>
    <w:rsid w:val="00601081"/>
    <w:rsid w:val="006011B7"/>
    <w:rsid w:val="006012C6"/>
    <w:rsid w:val="0060195B"/>
    <w:rsid w:val="00602121"/>
    <w:rsid w:val="006022A6"/>
    <w:rsid w:val="00602B3D"/>
    <w:rsid w:val="00603239"/>
    <w:rsid w:val="0060379C"/>
    <w:rsid w:val="006038F2"/>
    <w:rsid w:val="006044D6"/>
    <w:rsid w:val="0060473D"/>
    <w:rsid w:val="006053DC"/>
    <w:rsid w:val="00605C5A"/>
    <w:rsid w:val="006064B0"/>
    <w:rsid w:val="00606D8C"/>
    <w:rsid w:val="00606F35"/>
    <w:rsid w:val="00607A61"/>
    <w:rsid w:val="00607FF8"/>
    <w:rsid w:val="006108D0"/>
    <w:rsid w:val="00611C4D"/>
    <w:rsid w:val="00612153"/>
    <w:rsid w:val="006127D4"/>
    <w:rsid w:val="00612AE3"/>
    <w:rsid w:val="00613C03"/>
    <w:rsid w:val="00613C8A"/>
    <w:rsid w:val="00614547"/>
    <w:rsid w:val="006146BC"/>
    <w:rsid w:val="00614D4B"/>
    <w:rsid w:val="00615509"/>
    <w:rsid w:val="006155A3"/>
    <w:rsid w:val="0061688F"/>
    <w:rsid w:val="00616DFB"/>
    <w:rsid w:val="00617630"/>
    <w:rsid w:val="00617B27"/>
    <w:rsid w:val="00620346"/>
    <w:rsid w:val="0062074A"/>
    <w:rsid w:val="0062093B"/>
    <w:rsid w:val="00620F80"/>
    <w:rsid w:val="0062194B"/>
    <w:rsid w:val="00621A4A"/>
    <w:rsid w:val="00621BEA"/>
    <w:rsid w:val="00622243"/>
    <w:rsid w:val="00622516"/>
    <w:rsid w:val="00622C68"/>
    <w:rsid w:val="00622CFB"/>
    <w:rsid w:val="00623125"/>
    <w:rsid w:val="0062321A"/>
    <w:rsid w:val="006233FB"/>
    <w:rsid w:val="00623426"/>
    <w:rsid w:val="006241EE"/>
    <w:rsid w:val="00627ACD"/>
    <w:rsid w:val="00630383"/>
    <w:rsid w:val="00630B29"/>
    <w:rsid w:val="006319CB"/>
    <w:rsid w:val="0063274B"/>
    <w:rsid w:val="00632C5A"/>
    <w:rsid w:val="00633039"/>
    <w:rsid w:val="00633160"/>
    <w:rsid w:val="006337A6"/>
    <w:rsid w:val="00633A97"/>
    <w:rsid w:val="00633B25"/>
    <w:rsid w:val="00633DA7"/>
    <w:rsid w:val="00633F28"/>
    <w:rsid w:val="00635291"/>
    <w:rsid w:val="006357BD"/>
    <w:rsid w:val="00635DAE"/>
    <w:rsid w:val="0064057A"/>
    <w:rsid w:val="0064069A"/>
    <w:rsid w:val="006408DC"/>
    <w:rsid w:val="00640DBD"/>
    <w:rsid w:val="00640FE3"/>
    <w:rsid w:val="006412B6"/>
    <w:rsid w:val="006413AD"/>
    <w:rsid w:val="00641EED"/>
    <w:rsid w:val="00641FD6"/>
    <w:rsid w:val="00642AB7"/>
    <w:rsid w:val="00642D90"/>
    <w:rsid w:val="00643A7A"/>
    <w:rsid w:val="006443C1"/>
    <w:rsid w:val="00644A65"/>
    <w:rsid w:val="0064529A"/>
    <w:rsid w:val="0064535D"/>
    <w:rsid w:val="0064545A"/>
    <w:rsid w:val="006476FA"/>
    <w:rsid w:val="006503F8"/>
    <w:rsid w:val="00650902"/>
    <w:rsid w:val="006509B4"/>
    <w:rsid w:val="00650A6E"/>
    <w:rsid w:val="00650D0F"/>
    <w:rsid w:val="00650D85"/>
    <w:rsid w:val="006510ED"/>
    <w:rsid w:val="00651856"/>
    <w:rsid w:val="006521E7"/>
    <w:rsid w:val="0065354E"/>
    <w:rsid w:val="00653EEB"/>
    <w:rsid w:val="0065579F"/>
    <w:rsid w:val="00656952"/>
    <w:rsid w:val="00662163"/>
    <w:rsid w:val="00662226"/>
    <w:rsid w:val="00663F3A"/>
    <w:rsid w:val="00663F44"/>
    <w:rsid w:val="00664CEE"/>
    <w:rsid w:val="0066671C"/>
    <w:rsid w:val="00670351"/>
    <w:rsid w:val="006706AA"/>
    <w:rsid w:val="00671621"/>
    <w:rsid w:val="00671799"/>
    <w:rsid w:val="006718B7"/>
    <w:rsid w:val="00672346"/>
    <w:rsid w:val="00672523"/>
    <w:rsid w:val="00673154"/>
    <w:rsid w:val="006731C7"/>
    <w:rsid w:val="00673553"/>
    <w:rsid w:val="006746B2"/>
    <w:rsid w:val="006747E6"/>
    <w:rsid w:val="0067540D"/>
    <w:rsid w:val="00676131"/>
    <w:rsid w:val="00676695"/>
    <w:rsid w:val="00680E26"/>
    <w:rsid w:val="006820F9"/>
    <w:rsid w:val="00682266"/>
    <w:rsid w:val="00682990"/>
    <w:rsid w:val="00682B33"/>
    <w:rsid w:val="00682D58"/>
    <w:rsid w:val="0068365D"/>
    <w:rsid w:val="0068430C"/>
    <w:rsid w:val="00684646"/>
    <w:rsid w:val="00685237"/>
    <w:rsid w:val="00685374"/>
    <w:rsid w:val="00685B83"/>
    <w:rsid w:val="0068724D"/>
    <w:rsid w:val="00687897"/>
    <w:rsid w:val="00687CE8"/>
    <w:rsid w:val="00687F9B"/>
    <w:rsid w:val="00690BB8"/>
    <w:rsid w:val="006910E8"/>
    <w:rsid w:val="00691316"/>
    <w:rsid w:val="0069144C"/>
    <w:rsid w:val="0069161A"/>
    <w:rsid w:val="00691836"/>
    <w:rsid w:val="0069189C"/>
    <w:rsid w:val="00691E28"/>
    <w:rsid w:val="006924AA"/>
    <w:rsid w:val="00693574"/>
    <w:rsid w:val="00693EE6"/>
    <w:rsid w:val="00694655"/>
    <w:rsid w:val="00694DDF"/>
    <w:rsid w:val="0069500C"/>
    <w:rsid w:val="006954BD"/>
    <w:rsid w:val="006978B2"/>
    <w:rsid w:val="00697A57"/>
    <w:rsid w:val="00697DD7"/>
    <w:rsid w:val="006A0DB5"/>
    <w:rsid w:val="006A11D6"/>
    <w:rsid w:val="006A12BC"/>
    <w:rsid w:val="006A1A73"/>
    <w:rsid w:val="006A2EF2"/>
    <w:rsid w:val="006A44C4"/>
    <w:rsid w:val="006A451F"/>
    <w:rsid w:val="006A4939"/>
    <w:rsid w:val="006A58FA"/>
    <w:rsid w:val="006A67C2"/>
    <w:rsid w:val="006A6A31"/>
    <w:rsid w:val="006A6C19"/>
    <w:rsid w:val="006A7772"/>
    <w:rsid w:val="006B0833"/>
    <w:rsid w:val="006B0BCD"/>
    <w:rsid w:val="006B0CBE"/>
    <w:rsid w:val="006B0F84"/>
    <w:rsid w:val="006B1969"/>
    <w:rsid w:val="006B2F1E"/>
    <w:rsid w:val="006B3BD5"/>
    <w:rsid w:val="006B3DD7"/>
    <w:rsid w:val="006B48F1"/>
    <w:rsid w:val="006B69B3"/>
    <w:rsid w:val="006B6CB9"/>
    <w:rsid w:val="006B717C"/>
    <w:rsid w:val="006B775E"/>
    <w:rsid w:val="006C1352"/>
    <w:rsid w:val="006C1A41"/>
    <w:rsid w:val="006C20E7"/>
    <w:rsid w:val="006C2D21"/>
    <w:rsid w:val="006C31D9"/>
    <w:rsid w:val="006C36DF"/>
    <w:rsid w:val="006C3E8C"/>
    <w:rsid w:val="006C5323"/>
    <w:rsid w:val="006C5AC7"/>
    <w:rsid w:val="006C60A2"/>
    <w:rsid w:val="006C6193"/>
    <w:rsid w:val="006D0533"/>
    <w:rsid w:val="006D0DD2"/>
    <w:rsid w:val="006D0EDD"/>
    <w:rsid w:val="006D1C13"/>
    <w:rsid w:val="006D1D3A"/>
    <w:rsid w:val="006D238D"/>
    <w:rsid w:val="006D31F8"/>
    <w:rsid w:val="006D35A6"/>
    <w:rsid w:val="006D436D"/>
    <w:rsid w:val="006D43DB"/>
    <w:rsid w:val="006D4468"/>
    <w:rsid w:val="006D4CBA"/>
    <w:rsid w:val="006D5430"/>
    <w:rsid w:val="006D5E70"/>
    <w:rsid w:val="006D63EF"/>
    <w:rsid w:val="006D64C8"/>
    <w:rsid w:val="006D686D"/>
    <w:rsid w:val="006D6B64"/>
    <w:rsid w:val="006D7C19"/>
    <w:rsid w:val="006D7CA8"/>
    <w:rsid w:val="006E23FE"/>
    <w:rsid w:val="006E2640"/>
    <w:rsid w:val="006E2FE4"/>
    <w:rsid w:val="006E31E6"/>
    <w:rsid w:val="006E332B"/>
    <w:rsid w:val="006E36C6"/>
    <w:rsid w:val="006E3A1F"/>
    <w:rsid w:val="006E3B73"/>
    <w:rsid w:val="006E3FEB"/>
    <w:rsid w:val="006E483B"/>
    <w:rsid w:val="006E5E5B"/>
    <w:rsid w:val="006E5F08"/>
    <w:rsid w:val="006E7570"/>
    <w:rsid w:val="006E78B0"/>
    <w:rsid w:val="006E7F85"/>
    <w:rsid w:val="006F0FC4"/>
    <w:rsid w:val="006F1C74"/>
    <w:rsid w:val="006F2252"/>
    <w:rsid w:val="006F259F"/>
    <w:rsid w:val="006F286C"/>
    <w:rsid w:val="006F2A04"/>
    <w:rsid w:val="006F385A"/>
    <w:rsid w:val="006F3D72"/>
    <w:rsid w:val="006F3FB1"/>
    <w:rsid w:val="006F4B4B"/>
    <w:rsid w:val="006F4B94"/>
    <w:rsid w:val="006F4C5E"/>
    <w:rsid w:val="006F511B"/>
    <w:rsid w:val="006F5292"/>
    <w:rsid w:val="006F6130"/>
    <w:rsid w:val="006F6151"/>
    <w:rsid w:val="006F624A"/>
    <w:rsid w:val="006F6642"/>
    <w:rsid w:val="006F6C14"/>
    <w:rsid w:val="006F6CFF"/>
    <w:rsid w:val="006F6EB8"/>
    <w:rsid w:val="006F72DD"/>
    <w:rsid w:val="007006C7"/>
    <w:rsid w:val="0070098D"/>
    <w:rsid w:val="00700D30"/>
    <w:rsid w:val="00701CB5"/>
    <w:rsid w:val="00703664"/>
    <w:rsid w:val="0070393B"/>
    <w:rsid w:val="00703974"/>
    <w:rsid w:val="00703B4B"/>
    <w:rsid w:val="00704BC7"/>
    <w:rsid w:val="007051AF"/>
    <w:rsid w:val="00705FA1"/>
    <w:rsid w:val="00707409"/>
    <w:rsid w:val="00707C19"/>
    <w:rsid w:val="00707CC6"/>
    <w:rsid w:val="00707E83"/>
    <w:rsid w:val="00710C20"/>
    <w:rsid w:val="00710DD6"/>
    <w:rsid w:val="00711E45"/>
    <w:rsid w:val="007128F8"/>
    <w:rsid w:val="00712A62"/>
    <w:rsid w:val="00712EBE"/>
    <w:rsid w:val="00713AE8"/>
    <w:rsid w:val="007148BD"/>
    <w:rsid w:val="00714AB0"/>
    <w:rsid w:val="0071609B"/>
    <w:rsid w:val="007165B5"/>
    <w:rsid w:val="007165BE"/>
    <w:rsid w:val="007200FA"/>
    <w:rsid w:val="0072042D"/>
    <w:rsid w:val="00721118"/>
    <w:rsid w:val="007215F3"/>
    <w:rsid w:val="00721AE3"/>
    <w:rsid w:val="007227CD"/>
    <w:rsid w:val="007234D1"/>
    <w:rsid w:val="00723530"/>
    <w:rsid w:val="0072379E"/>
    <w:rsid w:val="007252A6"/>
    <w:rsid w:val="00725A7B"/>
    <w:rsid w:val="00725CC4"/>
    <w:rsid w:val="0072600B"/>
    <w:rsid w:val="007260E8"/>
    <w:rsid w:val="00726958"/>
    <w:rsid w:val="007269DD"/>
    <w:rsid w:val="00727CB3"/>
    <w:rsid w:val="00727D4D"/>
    <w:rsid w:val="0073069A"/>
    <w:rsid w:val="0073098B"/>
    <w:rsid w:val="00731322"/>
    <w:rsid w:val="00731551"/>
    <w:rsid w:val="007316E5"/>
    <w:rsid w:val="00731E30"/>
    <w:rsid w:val="00732716"/>
    <w:rsid w:val="00732B4D"/>
    <w:rsid w:val="0073318C"/>
    <w:rsid w:val="00735D47"/>
    <w:rsid w:val="007367F9"/>
    <w:rsid w:val="00736CDD"/>
    <w:rsid w:val="00736FEF"/>
    <w:rsid w:val="007372AB"/>
    <w:rsid w:val="00737516"/>
    <w:rsid w:val="00737707"/>
    <w:rsid w:val="00740954"/>
    <w:rsid w:val="0074099C"/>
    <w:rsid w:val="00741230"/>
    <w:rsid w:val="00741401"/>
    <w:rsid w:val="00742A16"/>
    <w:rsid w:val="00742B43"/>
    <w:rsid w:val="0074310F"/>
    <w:rsid w:val="007431A7"/>
    <w:rsid w:val="00743DC9"/>
    <w:rsid w:val="00745C1D"/>
    <w:rsid w:val="00745EC1"/>
    <w:rsid w:val="00746271"/>
    <w:rsid w:val="00746EFF"/>
    <w:rsid w:val="00747644"/>
    <w:rsid w:val="007517C3"/>
    <w:rsid w:val="00751F23"/>
    <w:rsid w:val="0075278C"/>
    <w:rsid w:val="00752C9E"/>
    <w:rsid w:val="007532B7"/>
    <w:rsid w:val="0075449D"/>
    <w:rsid w:val="00754C9C"/>
    <w:rsid w:val="0075587F"/>
    <w:rsid w:val="00755B4B"/>
    <w:rsid w:val="00756A21"/>
    <w:rsid w:val="007573D2"/>
    <w:rsid w:val="007577AC"/>
    <w:rsid w:val="007579F6"/>
    <w:rsid w:val="007605A1"/>
    <w:rsid w:val="00760A0D"/>
    <w:rsid w:val="00760A61"/>
    <w:rsid w:val="00760C49"/>
    <w:rsid w:val="0076122E"/>
    <w:rsid w:val="007626A2"/>
    <w:rsid w:val="00763C6E"/>
    <w:rsid w:val="007647C0"/>
    <w:rsid w:val="007651F0"/>
    <w:rsid w:val="00765D32"/>
    <w:rsid w:val="007677B6"/>
    <w:rsid w:val="0076783E"/>
    <w:rsid w:val="007705A1"/>
    <w:rsid w:val="00770F43"/>
    <w:rsid w:val="00771212"/>
    <w:rsid w:val="00771468"/>
    <w:rsid w:val="007718FC"/>
    <w:rsid w:val="007719AC"/>
    <w:rsid w:val="007724FE"/>
    <w:rsid w:val="00773686"/>
    <w:rsid w:val="00773C32"/>
    <w:rsid w:val="00773D7D"/>
    <w:rsid w:val="00773E91"/>
    <w:rsid w:val="0077411A"/>
    <w:rsid w:val="007742FF"/>
    <w:rsid w:val="00774AA4"/>
    <w:rsid w:val="0077558D"/>
    <w:rsid w:val="00776452"/>
    <w:rsid w:val="007768E3"/>
    <w:rsid w:val="00776AD0"/>
    <w:rsid w:val="00777284"/>
    <w:rsid w:val="00777411"/>
    <w:rsid w:val="00777797"/>
    <w:rsid w:val="0078060B"/>
    <w:rsid w:val="00780659"/>
    <w:rsid w:val="00780871"/>
    <w:rsid w:val="007812FD"/>
    <w:rsid w:val="00782051"/>
    <w:rsid w:val="00782A24"/>
    <w:rsid w:val="0078344B"/>
    <w:rsid w:val="00783F68"/>
    <w:rsid w:val="007846F2"/>
    <w:rsid w:val="00784976"/>
    <w:rsid w:val="00785BE0"/>
    <w:rsid w:val="00786D8C"/>
    <w:rsid w:val="00786F92"/>
    <w:rsid w:val="0078789E"/>
    <w:rsid w:val="00787A57"/>
    <w:rsid w:val="00787B7D"/>
    <w:rsid w:val="00787C2B"/>
    <w:rsid w:val="00787D7A"/>
    <w:rsid w:val="00790CF6"/>
    <w:rsid w:val="00790DE3"/>
    <w:rsid w:val="00790EA1"/>
    <w:rsid w:val="00792BAC"/>
    <w:rsid w:val="00792D48"/>
    <w:rsid w:val="00793203"/>
    <w:rsid w:val="007933D2"/>
    <w:rsid w:val="007938C0"/>
    <w:rsid w:val="0079426B"/>
    <w:rsid w:val="00794313"/>
    <w:rsid w:val="00794677"/>
    <w:rsid w:val="0079484D"/>
    <w:rsid w:val="00794ABB"/>
    <w:rsid w:val="00795931"/>
    <w:rsid w:val="00796A2A"/>
    <w:rsid w:val="00797B97"/>
    <w:rsid w:val="007A053E"/>
    <w:rsid w:val="007A115D"/>
    <w:rsid w:val="007A1F1E"/>
    <w:rsid w:val="007A1FBC"/>
    <w:rsid w:val="007A2A69"/>
    <w:rsid w:val="007A33A8"/>
    <w:rsid w:val="007A37A9"/>
    <w:rsid w:val="007A3C87"/>
    <w:rsid w:val="007A443C"/>
    <w:rsid w:val="007A4CD2"/>
    <w:rsid w:val="007A5B50"/>
    <w:rsid w:val="007A6059"/>
    <w:rsid w:val="007A6821"/>
    <w:rsid w:val="007A733B"/>
    <w:rsid w:val="007B055F"/>
    <w:rsid w:val="007B0BAC"/>
    <w:rsid w:val="007B1A5F"/>
    <w:rsid w:val="007B1B20"/>
    <w:rsid w:val="007B27A1"/>
    <w:rsid w:val="007B2828"/>
    <w:rsid w:val="007B2EDD"/>
    <w:rsid w:val="007B3A15"/>
    <w:rsid w:val="007B3EE9"/>
    <w:rsid w:val="007B3FC2"/>
    <w:rsid w:val="007B48D3"/>
    <w:rsid w:val="007B4B41"/>
    <w:rsid w:val="007B55A1"/>
    <w:rsid w:val="007B6028"/>
    <w:rsid w:val="007B6111"/>
    <w:rsid w:val="007B70D2"/>
    <w:rsid w:val="007B73A5"/>
    <w:rsid w:val="007B7428"/>
    <w:rsid w:val="007B7651"/>
    <w:rsid w:val="007C0BA7"/>
    <w:rsid w:val="007C14FA"/>
    <w:rsid w:val="007C1B2C"/>
    <w:rsid w:val="007C33E4"/>
    <w:rsid w:val="007C3A6F"/>
    <w:rsid w:val="007C41B3"/>
    <w:rsid w:val="007C44F4"/>
    <w:rsid w:val="007C46BF"/>
    <w:rsid w:val="007C7586"/>
    <w:rsid w:val="007D0275"/>
    <w:rsid w:val="007D0CD8"/>
    <w:rsid w:val="007D0E6A"/>
    <w:rsid w:val="007D102C"/>
    <w:rsid w:val="007D16E9"/>
    <w:rsid w:val="007D1A77"/>
    <w:rsid w:val="007D2298"/>
    <w:rsid w:val="007D2337"/>
    <w:rsid w:val="007D2587"/>
    <w:rsid w:val="007D2A06"/>
    <w:rsid w:val="007D36F2"/>
    <w:rsid w:val="007D4D1B"/>
    <w:rsid w:val="007D4F90"/>
    <w:rsid w:val="007D5A25"/>
    <w:rsid w:val="007D5F78"/>
    <w:rsid w:val="007D78AD"/>
    <w:rsid w:val="007D7D0F"/>
    <w:rsid w:val="007D7E53"/>
    <w:rsid w:val="007D7F5E"/>
    <w:rsid w:val="007E0F24"/>
    <w:rsid w:val="007E1296"/>
    <w:rsid w:val="007E14F7"/>
    <w:rsid w:val="007E17B1"/>
    <w:rsid w:val="007E27C0"/>
    <w:rsid w:val="007E27F7"/>
    <w:rsid w:val="007E2BDB"/>
    <w:rsid w:val="007E420F"/>
    <w:rsid w:val="007E42B9"/>
    <w:rsid w:val="007E4716"/>
    <w:rsid w:val="007E53FE"/>
    <w:rsid w:val="007E6651"/>
    <w:rsid w:val="007E6E32"/>
    <w:rsid w:val="007E771D"/>
    <w:rsid w:val="007E7E1B"/>
    <w:rsid w:val="007F0631"/>
    <w:rsid w:val="007F097A"/>
    <w:rsid w:val="007F1BA6"/>
    <w:rsid w:val="007F1C2D"/>
    <w:rsid w:val="007F3DA7"/>
    <w:rsid w:val="007F3FBF"/>
    <w:rsid w:val="007F41C9"/>
    <w:rsid w:val="007F4203"/>
    <w:rsid w:val="007F4805"/>
    <w:rsid w:val="007F4811"/>
    <w:rsid w:val="007F502E"/>
    <w:rsid w:val="007F63DB"/>
    <w:rsid w:val="007F65F6"/>
    <w:rsid w:val="007F6725"/>
    <w:rsid w:val="007F6A42"/>
    <w:rsid w:val="007F7D5C"/>
    <w:rsid w:val="00800351"/>
    <w:rsid w:val="0080074B"/>
    <w:rsid w:val="008013CA"/>
    <w:rsid w:val="00801598"/>
    <w:rsid w:val="008037E8"/>
    <w:rsid w:val="00804DB1"/>
    <w:rsid w:val="00805245"/>
    <w:rsid w:val="0080553A"/>
    <w:rsid w:val="008056CF"/>
    <w:rsid w:val="0080583C"/>
    <w:rsid w:val="00805BFE"/>
    <w:rsid w:val="00806C7C"/>
    <w:rsid w:val="0080728E"/>
    <w:rsid w:val="00807CD0"/>
    <w:rsid w:val="00811402"/>
    <w:rsid w:val="00811A2A"/>
    <w:rsid w:val="00812A7A"/>
    <w:rsid w:val="00814693"/>
    <w:rsid w:val="00814945"/>
    <w:rsid w:val="00814985"/>
    <w:rsid w:val="00814B3B"/>
    <w:rsid w:val="00814F01"/>
    <w:rsid w:val="008160BF"/>
    <w:rsid w:val="008160E3"/>
    <w:rsid w:val="00816E81"/>
    <w:rsid w:val="00816F96"/>
    <w:rsid w:val="008170EC"/>
    <w:rsid w:val="008171BF"/>
    <w:rsid w:val="00817579"/>
    <w:rsid w:val="008175D4"/>
    <w:rsid w:val="00817C65"/>
    <w:rsid w:val="00820838"/>
    <w:rsid w:val="00820DBC"/>
    <w:rsid w:val="00822AED"/>
    <w:rsid w:val="008232B0"/>
    <w:rsid w:val="00823AF8"/>
    <w:rsid w:val="008247CB"/>
    <w:rsid w:val="008249EB"/>
    <w:rsid w:val="00824B4E"/>
    <w:rsid w:val="00824C64"/>
    <w:rsid w:val="00825F93"/>
    <w:rsid w:val="008267CB"/>
    <w:rsid w:val="00826E70"/>
    <w:rsid w:val="00827512"/>
    <w:rsid w:val="0083061C"/>
    <w:rsid w:val="00830FAD"/>
    <w:rsid w:val="008324DA"/>
    <w:rsid w:val="00832A86"/>
    <w:rsid w:val="00832AD9"/>
    <w:rsid w:val="00833073"/>
    <w:rsid w:val="00833075"/>
    <w:rsid w:val="008330CD"/>
    <w:rsid w:val="00833430"/>
    <w:rsid w:val="00833B77"/>
    <w:rsid w:val="0083438C"/>
    <w:rsid w:val="00834D24"/>
    <w:rsid w:val="00834E02"/>
    <w:rsid w:val="00835182"/>
    <w:rsid w:val="00835356"/>
    <w:rsid w:val="00836D5A"/>
    <w:rsid w:val="008374A8"/>
    <w:rsid w:val="0083795A"/>
    <w:rsid w:val="008379EA"/>
    <w:rsid w:val="00837C9F"/>
    <w:rsid w:val="00840B2A"/>
    <w:rsid w:val="008419ED"/>
    <w:rsid w:val="008422EF"/>
    <w:rsid w:val="00842AB9"/>
    <w:rsid w:val="00843379"/>
    <w:rsid w:val="008436F0"/>
    <w:rsid w:val="00843DAA"/>
    <w:rsid w:val="00843F40"/>
    <w:rsid w:val="008448F7"/>
    <w:rsid w:val="00845B4B"/>
    <w:rsid w:val="00845FF6"/>
    <w:rsid w:val="008465CB"/>
    <w:rsid w:val="008470C6"/>
    <w:rsid w:val="00847249"/>
    <w:rsid w:val="00847C81"/>
    <w:rsid w:val="00850056"/>
    <w:rsid w:val="008505B6"/>
    <w:rsid w:val="00850AD1"/>
    <w:rsid w:val="00850E36"/>
    <w:rsid w:val="0085138E"/>
    <w:rsid w:val="00851A3E"/>
    <w:rsid w:val="00851C79"/>
    <w:rsid w:val="00852259"/>
    <w:rsid w:val="00852345"/>
    <w:rsid w:val="00852509"/>
    <w:rsid w:val="0085267C"/>
    <w:rsid w:val="00852D9C"/>
    <w:rsid w:val="00852FC2"/>
    <w:rsid w:val="0085327B"/>
    <w:rsid w:val="00853419"/>
    <w:rsid w:val="00855AF5"/>
    <w:rsid w:val="00855CBD"/>
    <w:rsid w:val="00855E7C"/>
    <w:rsid w:val="00855FC9"/>
    <w:rsid w:val="008563F7"/>
    <w:rsid w:val="00856F99"/>
    <w:rsid w:val="008579F0"/>
    <w:rsid w:val="00860159"/>
    <w:rsid w:val="008601AF"/>
    <w:rsid w:val="00860408"/>
    <w:rsid w:val="008609B3"/>
    <w:rsid w:val="00860FE6"/>
    <w:rsid w:val="00862072"/>
    <w:rsid w:val="0086211F"/>
    <w:rsid w:val="00862A3F"/>
    <w:rsid w:val="00862A76"/>
    <w:rsid w:val="008639BB"/>
    <w:rsid w:val="00863EC0"/>
    <w:rsid w:val="008640E6"/>
    <w:rsid w:val="00864140"/>
    <w:rsid w:val="00864D17"/>
    <w:rsid w:val="00865E5C"/>
    <w:rsid w:val="00865F8F"/>
    <w:rsid w:val="00866105"/>
    <w:rsid w:val="008702BF"/>
    <w:rsid w:val="00870CA0"/>
    <w:rsid w:val="00870E1A"/>
    <w:rsid w:val="008714DB"/>
    <w:rsid w:val="008719DB"/>
    <w:rsid w:val="00871D9B"/>
    <w:rsid w:val="00872250"/>
    <w:rsid w:val="00873167"/>
    <w:rsid w:val="008731B8"/>
    <w:rsid w:val="0087341B"/>
    <w:rsid w:val="00873D16"/>
    <w:rsid w:val="00873F06"/>
    <w:rsid w:val="00874265"/>
    <w:rsid w:val="008742D9"/>
    <w:rsid w:val="00874521"/>
    <w:rsid w:val="00874A5D"/>
    <w:rsid w:val="00874F80"/>
    <w:rsid w:val="00875A4B"/>
    <w:rsid w:val="00876096"/>
    <w:rsid w:val="008768D2"/>
    <w:rsid w:val="0087707B"/>
    <w:rsid w:val="008803AA"/>
    <w:rsid w:val="00880AFE"/>
    <w:rsid w:val="00880E6A"/>
    <w:rsid w:val="00880F6C"/>
    <w:rsid w:val="0088143A"/>
    <w:rsid w:val="00881826"/>
    <w:rsid w:val="0088199E"/>
    <w:rsid w:val="00881EF0"/>
    <w:rsid w:val="008839C5"/>
    <w:rsid w:val="00883D24"/>
    <w:rsid w:val="00884055"/>
    <w:rsid w:val="00884597"/>
    <w:rsid w:val="00885263"/>
    <w:rsid w:val="008855E2"/>
    <w:rsid w:val="00885E69"/>
    <w:rsid w:val="00886047"/>
    <w:rsid w:val="00886521"/>
    <w:rsid w:val="00886CF9"/>
    <w:rsid w:val="00886FE2"/>
    <w:rsid w:val="00887505"/>
    <w:rsid w:val="008878BA"/>
    <w:rsid w:val="00887F76"/>
    <w:rsid w:val="00890AE2"/>
    <w:rsid w:val="008916B8"/>
    <w:rsid w:val="0089187A"/>
    <w:rsid w:val="00891E8C"/>
    <w:rsid w:val="0089365C"/>
    <w:rsid w:val="008937A3"/>
    <w:rsid w:val="008937C4"/>
    <w:rsid w:val="00893DA5"/>
    <w:rsid w:val="00894051"/>
    <w:rsid w:val="0089422A"/>
    <w:rsid w:val="00895070"/>
    <w:rsid w:val="0089509A"/>
    <w:rsid w:val="00896869"/>
    <w:rsid w:val="00897723"/>
    <w:rsid w:val="00897CA4"/>
    <w:rsid w:val="00897EB8"/>
    <w:rsid w:val="008A05F1"/>
    <w:rsid w:val="008A0DD1"/>
    <w:rsid w:val="008A16BE"/>
    <w:rsid w:val="008A17EB"/>
    <w:rsid w:val="008A2155"/>
    <w:rsid w:val="008A2636"/>
    <w:rsid w:val="008A2A45"/>
    <w:rsid w:val="008A3B55"/>
    <w:rsid w:val="008A4EF7"/>
    <w:rsid w:val="008A4FE1"/>
    <w:rsid w:val="008A52AD"/>
    <w:rsid w:val="008A5E28"/>
    <w:rsid w:val="008A712A"/>
    <w:rsid w:val="008A73B2"/>
    <w:rsid w:val="008A7731"/>
    <w:rsid w:val="008B01CB"/>
    <w:rsid w:val="008B0715"/>
    <w:rsid w:val="008B0E1A"/>
    <w:rsid w:val="008B1C8F"/>
    <w:rsid w:val="008B302A"/>
    <w:rsid w:val="008B332C"/>
    <w:rsid w:val="008B35D3"/>
    <w:rsid w:val="008B4198"/>
    <w:rsid w:val="008B4609"/>
    <w:rsid w:val="008B6696"/>
    <w:rsid w:val="008B6C6F"/>
    <w:rsid w:val="008B6FDC"/>
    <w:rsid w:val="008B725B"/>
    <w:rsid w:val="008B725C"/>
    <w:rsid w:val="008B7AE3"/>
    <w:rsid w:val="008C0229"/>
    <w:rsid w:val="008C0B22"/>
    <w:rsid w:val="008C1D6D"/>
    <w:rsid w:val="008C2CDA"/>
    <w:rsid w:val="008C3627"/>
    <w:rsid w:val="008C3F2B"/>
    <w:rsid w:val="008C3F98"/>
    <w:rsid w:val="008C4337"/>
    <w:rsid w:val="008C5269"/>
    <w:rsid w:val="008C594A"/>
    <w:rsid w:val="008C5CE8"/>
    <w:rsid w:val="008C6563"/>
    <w:rsid w:val="008C77B4"/>
    <w:rsid w:val="008C7F4D"/>
    <w:rsid w:val="008D0D2F"/>
    <w:rsid w:val="008D1D78"/>
    <w:rsid w:val="008D1DAC"/>
    <w:rsid w:val="008D23AF"/>
    <w:rsid w:val="008D2BC8"/>
    <w:rsid w:val="008D398D"/>
    <w:rsid w:val="008D3A05"/>
    <w:rsid w:val="008D3AFB"/>
    <w:rsid w:val="008D3E0C"/>
    <w:rsid w:val="008D3E15"/>
    <w:rsid w:val="008D4C79"/>
    <w:rsid w:val="008D4FC1"/>
    <w:rsid w:val="008D58D7"/>
    <w:rsid w:val="008D681A"/>
    <w:rsid w:val="008D683C"/>
    <w:rsid w:val="008D6B1A"/>
    <w:rsid w:val="008D6D38"/>
    <w:rsid w:val="008D7246"/>
    <w:rsid w:val="008D78D8"/>
    <w:rsid w:val="008E0290"/>
    <w:rsid w:val="008E0617"/>
    <w:rsid w:val="008E101F"/>
    <w:rsid w:val="008E1480"/>
    <w:rsid w:val="008E20D0"/>
    <w:rsid w:val="008E30AC"/>
    <w:rsid w:val="008E3263"/>
    <w:rsid w:val="008E3E95"/>
    <w:rsid w:val="008E5B71"/>
    <w:rsid w:val="008E5DE5"/>
    <w:rsid w:val="008E5E10"/>
    <w:rsid w:val="008E64BD"/>
    <w:rsid w:val="008E677A"/>
    <w:rsid w:val="008E705E"/>
    <w:rsid w:val="008F09FE"/>
    <w:rsid w:val="008F0D76"/>
    <w:rsid w:val="008F2453"/>
    <w:rsid w:val="008F3128"/>
    <w:rsid w:val="008F32F9"/>
    <w:rsid w:val="008F34E9"/>
    <w:rsid w:val="008F3FE6"/>
    <w:rsid w:val="008F40CC"/>
    <w:rsid w:val="008F472F"/>
    <w:rsid w:val="008F4BE8"/>
    <w:rsid w:val="008F748C"/>
    <w:rsid w:val="008F7F5E"/>
    <w:rsid w:val="0090017D"/>
    <w:rsid w:val="009006F7"/>
    <w:rsid w:val="00901F23"/>
    <w:rsid w:val="00902833"/>
    <w:rsid w:val="00903849"/>
    <w:rsid w:val="009039E2"/>
    <w:rsid w:val="00903D48"/>
    <w:rsid w:val="009048B5"/>
    <w:rsid w:val="009059FB"/>
    <w:rsid w:val="00906062"/>
    <w:rsid w:val="009061AD"/>
    <w:rsid w:val="00910239"/>
    <w:rsid w:val="00910BFB"/>
    <w:rsid w:val="0091196A"/>
    <w:rsid w:val="00911DC9"/>
    <w:rsid w:val="009123FF"/>
    <w:rsid w:val="009124F4"/>
    <w:rsid w:val="00913628"/>
    <w:rsid w:val="00913929"/>
    <w:rsid w:val="00913E3B"/>
    <w:rsid w:val="0091418D"/>
    <w:rsid w:val="00914B6F"/>
    <w:rsid w:val="00914E20"/>
    <w:rsid w:val="009155E9"/>
    <w:rsid w:val="009164CD"/>
    <w:rsid w:val="0091651F"/>
    <w:rsid w:val="009168CC"/>
    <w:rsid w:val="00916C40"/>
    <w:rsid w:val="00917271"/>
    <w:rsid w:val="0091740C"/>
    <w:rsid w:val="009176C1"/>
    <w:rsid w:val="0092052F"/>
    <w:rsid w:val="00921A7D"/>
    <w:rsid w:val="00921D2A"/>
    <w:rsid w:val="00922A9F"/>
    <w:rsid w:val="00922E33"/>
    <w:rsid w:val="00922ED5"/>
    <w:rsid w:val="009245EF"/>
    <w:rsid w:val="00924AE9"/>
    <w:rsid w:val="00925193"/>
    <w:rsid w:val="00925386"/>
    <w:rsid w:val="00925478"/>
    <w:rsid w:val="00925A8F"/>
    <w:rsid w:val="00925D8E"/>
    <w:rsid w:val="00926190"/>
    <w:rsid w:val="00926471"/>
    <w:rsid w:val="009269F5"/>
    <w:rsid w:val="00927C35"/>
    <w:rsid w:val="00927E12"/>
    <w:rsid w:val="00927E73"/>
    <w:rsid w:val="009301A7"/>
    <w:rsid w:val="00930CAD"/>
    <w:rsid w:val="0093121C"/>
    <w:rsid w:val="00933DD1"/>
    <w:rsid w:val="009342F8"/>
    <w:rsid w:val="00935914"/>
    <w:rsid w:val="00937D03"/>
    <w:rsid w:val="009400CF"/>
    <w:rsid w:val="00940533"/>
    <w:rsid w:val="009410AE"/>
    <w:rsid w:val="0094130B"/>
    <w:rsid w:val="00941A8C"/>
    <w:rsid w:val="0094216B"/>
    <w:rsid w:val="009427F1"/>
    <w:rsid w:val="009432FE"/>
    <w:rsid w:val="009438F8"/>
    <w:rsid w:val="00944414"/>
    <w:rsid w:val="00944604"/>
    <w:rsid w:val="00944A74"/>
    <w:rsid w:val="0094560B"/>
    <w:rsid w:val="00945FA9"/>
    <w:rsid w:val="0094691D"/>
    <w:rsid w:val="00947EA5"/>
    <w:rsid w:val="00950C09"/>
    <w:rsid w:val="00950C93"/>
    <w:rsid w:val="0095182E"/>
    <w:rsid w:val="00952999"/>
    <w:rsid w:val="00952E0D"/>
    <w:rsid w:val="00952FE2"/>
    <w:rsid w:val="00954F42"/>
    <w:rsid w:val="009552CE"/>
    <w:rsid w:val="00955A82"/>
    <w:rsid w:val="00955FF4"/>
    <w:rsid w:val="00956D39"/>
    <w:rsid w:val="00957172"/>
    <w:rsid w:val="00957393"/>
    <w:rsid w:val="009578D1"/>
    <w:rsid w:val="00957A33"/>
    <w:rsid w:val="0096003B"/>
    <w:rsid w:val="0096081E"/>
    <w:rsid w:val="0096137E"/>
    <w:rsid w:val="00961E92"/>
    <w:rsid w:val="00961F11"/>
    <w:rsid w:val="009629BF"/>
    <w:rsid w:val="009647C5"/>
    <w:rsid w:val="009649F9"/>
    <w:rsid w:val="00964DB5"/>
    <w:rsid w:val="00965001"/>
    <w:rsid w:val="00965C9F"/>
    <w:rsid w:val="0096604F"/>
    <w:rsid w:val="00966280"/>
    <w:rsid w:val="00966326"/>
    <w:rsid w:val="009663C5"/>
    <w:rsid w:val="0096654C"/>
    <w:rsid w:val="00966709"/>
    <w:rsid w:val="00966E17"/>
    <w:rsid w:val="00967B6E"/>
    <w:rsid w:val="00967CE8"/>
    <w:rsid w:val="00967F3F"/>
    <w:rsid w:val="00970586"/>
    <w:rsid w:val="00971DDC"/>
    <w:rsid w:val="00972C5A"/>
    <w:rsid w:val="00973A39"/>
    <w:rsid w:val="009740A9"/>
    <w:rsid w:val="0097487E"/>
    <w:rsid w:val="009755AD"/>
    <w:rsid w:val="009757E0"/>
    <w:rsid w:val="0097614F"/>
    <w:rsid w:val="0097718E"/>
    <w:rsid w:val="009774AB"/>
    <w:rsid w:val="00980076"/>
    <w:rsid w:val="009800B6"/>
    <w:rsid w:val="0098038F"/>
    <w:rsid w:val="00982229"/>
    <w:rsid w:val="00982D4A"/>
    <w:rsid w:val="00982F80"/>
    <w:rsid w:val="0098372A"/>
    <w:rsid w:val="00983F38"/>
    <w:rsid w:val="00985DB7"/>
    <w:rsid w:val="009861C6"/>
    <w:rsid w:val="00986B3C"/>
    <w:rsid w:val="00986BC8"/>
    <w:rsid w:val="00986C7B"/>
    <w:rsid w:val="00986D52"/>
    <w:rsid w:val="0099010F"/>
    <w:rsid w:val="009903A8"/>
    <w:rsid w:val="00990F9A"/>
    <w:rsid w:val="00991070"/>
    <w:rsid w:val="00991613"/>
    <w:rsid w:val="00992DCD"/>
    <w:rsid w:val="00994450"/>
    <w:rsid w:val="00994702"/>
    <w:rsid w:val="00995106"/>
    <w:rsid w:val="00995EE9"/>
    <w:rsid w:val="0099603B"/>
    <w:rsid w:val="00996111"/>
    <w:rsid w:val="00996C42"/>
    <w:rsid w:val="00996E62"/>
    <w:rsid w:val="00997018"/>
    <w:rsid w:val="00997875"/>
    <w:rsid w:val="00997D39"/>
    <w:rsid w:val="00997FD5"/>
    <w:rsid w:val="009A1CA8"/>
    <w:rsid w:val="009A1D44"/>
    <w:rsid w:val="009A2293"/>
    <w:rsid w:val="009A34E2"/>
    <w:rsid w:val="009A405A"/>
    <w:rsid w:val="009A4A34"/>
    <w:rsid w:val="009A5082"/>
    <w:rsid w:val="009A5A32"/>
    <w:rsid w:val="009A618E"/>
    <w:rsid w:val="009A63B4"/>
    <w:rsid w:val="009A654B"/>
    <w:rsid w:val="009A6739"/>
    <w:rsid w:val="009A6ED7"/>
    <w:rsid w:val="009A73CC"/>
    <w:rsid w:val="009A78AF"/>
    <w:rsid w:val="009A7A74"/>
    <w:rsid w:val="009B09A9"/>
    <w:rsid w:val="009B1102"/>
    <w:rsid w:val="009B155B"/>
    <w:rsid w:val="009B183F"/>
    <w:rsid w:val="009B18CF"/>
    <w:rsid w:val="009B1AC0"/>
    <w:rsid w:val="009B1F5B"/>
    <w:rsid w:val="009B1FF6"/>
    <w:rsid w:val="009B2F5F"/>
    <w:rsid w:val="009B3B06"/>
    <w:rsid w:val="009B3DB8"/>
    <w:rsid w:val="009B4769"/>
    <w:rsid w:val="009B619D"/>
    <w:rsid w:val="009B6465"/>
    <w:rsid w:val="009B7075"/>
    <w:rsid w:val="009B7ED9"/>
    <w:rsid w:val="009C057C"/>
    <w:rsid w:val="009C0735"/>
    <w:rsid w:val="009C13D9"/>
    <w:rsid w:val="009C14F3"/>
    <w:rsid w:val="009C2086"/>
    <w:rsid w:val="009C3006"/>
    <w:rsid w:val="009C3172"/>
    <w:rsid w:val="009C600B"/>
    <w:rsid w:val="009C6656"/>
    <w:rsid w:val="009C6F02"/>
    <w:rsid w:val="009C7D32"/>
    <w:rsid w:val="009D0483"/>
    <w:rsid w:val="009D159F"/>
    <w:rsid w:val="009D1C58"/>
    <w:rsid w:val="009D1C99"/>
    <w:rsid w:val="009D2A16"/>
    <w:rsid w:val="009D3D0E"/>
    <w:rsid w:val="009D4DB6"/>
    <w:rsid w:val="009D4EB6"/>
    <w:rsid w:val="009D58FA"/>
    <w:rsid w:val="009D5E10"/>
    <w:rsid w:val="009D5E9C"/>
    <w:rsid w:val="009D6952"/>
    <w:rsid w:val="009D783B"/>
    <w:rsid w:val="009D7F9A"/>
    <w:rsid w:val="009D7FC9"/>
    <w:rsid w:val="009E068F"/>
    <w:rsid w:val="009E141E"/>
    <w:rsid w:val="009E1502"/>
    <w:rsid w:val="009E184D"/>
    <w:rsid w:val="009E1B89"/>
    <w:rsid w:val="009E4F33"/>
    <w:rsid w:val="009E4F8A"/>
    <w:rsid w:val="009E5870"/>
    <w:rsid w:val="009E619C"/>
    <w:rsid w:val="009E6553"/>
    <w:rsid w:val="009E6A6F"/>
    <w:rsid w:val="009E6F28"/>
    <w:rsid w:val="009E7020"/>
    <w:rsid w:val="009E7045"/>
    <w:rsid w:val="009E748B"/>
    <w:rsid w:val="009F0D9E"/>
    <w:rsid w:val="009F1B0A"/>
    <w:rsid w:val="009F1B67"/>
    <w:rsid w:val="009F1DAD"/>
    <w:rsid w:val="009F2244"/>
    <w:rsid w:val="009F2B23"/>
    <w:rsid w:val="009F3D12"/>
    <w:rsid w:val="009F3EAE"/>
    <w:rsid w:val="009F466D"/>
    <w:rsid w:val="009F51E2"/>
    <w:rsid w:val="009F5B6D"/>
    <w:rsid w:val="009F5F47"/>
    <w:rsid w:val="009F7AB4"/>
    <w:rsid w:val="00A00120"/>
    <w:rsid w:val="00A0030B"/>
    <w:rsid w:val="00A016BB"/>
    <w:rsid w:val="00A01FAE"/>
    <w:rsid w:val="00A02177"/>
    <w:rsid w:val="00A025C8"/>
    <w:rsid w:val="00A033F8"/>
    <w:rsid w:val="00A03D3F"/>
    <w:rsid w:val="00A03F70"/>
    <w:rsid w:val="00A04BEB"/>
    <w:rsid w:val="00A04DE2"/>
    <w:rsid w:val="00A0501B"/>
    <w:rsid w:val="00A0548F"/>
    <w:rsid w:val="00A06347"/>
    <w:rsid w:val="00A06515"/>
    <w:rsid w:val="00A07EB3"/>
    <w:rsid w:val="00A07EF0"/>
    <w:rsid w:val="00A108D2"/>
    <w:rsid w:val="00A11A20"/>
    <w:rsid w:val="00A11DAC"/>
    <w:rsid w:val="00A11DFB"/>
    <w:rsid w:val="00A11F1E"/>
    <w:rsid w:val="00A11FA5"/>
    <w:rsid w:val="00A12A45"/>
    <w:rsid w:val="00A139D2"/>
    <w:rsid w:val="00A14B81"/>
    <w:rsid w:val="00A14BA5"/>
    <w:rsid w:val="00A15421"/>
    <w:rsid w:val="00A155B1"/>
    <w:rsid w:val="00A15998"/>
    <w:rsid w:val="00A15C80"/>
    <w:rsid w:val="00A15DA4"/>
    <w:rsid w:val="00A169CF"/>
    <w:rsid w:val="00A17019"/>
    <w:rsid w:val="00A20055"/>
    <w:rsid w:val="00A20607"/>
    <w:rsid w:val="00A20BD3"/>
    <w:rsid w:val="00A20D0F"/>
    <w:rsid w:val="00A2198B"/>
    <w:rsid w:val="00A21B47"/>
    <w:rsid w:val="00A22250"/>
    <w:rsid w:val="00A22E5A"/>
    <w:rsid w:val="00A23E53"/>
    <w:rsid w:val="00A24690"/>
    <w:rsid w:val="00A2486B"/>
    <w:rsid w:val="00A25160"/>
    <w:rsid w:val="00A25367"/>
    <w:rsid w:val="00A2574C"/>
    <w:rsid w:val="00A257B4"/>
    <w:rsid w:val="00A257CB"/>
    <w:rsid w:val="00A273E8"/>
    <w:rsid w:val="00A2769F"/>
    <w:rsid w:val="00A27E76"/>
    <w:rsid w:val="00A27FA4"/>
    <w:rsid w:val="00A3079C"/>
    <w:rsid w:val="00A30ABC"/>
    <w:rsid w:val="00A31A13"/>
    <w:rsid w:val="00A31A7B"/>
    <w:rsid w:val="00A323D7"/>
    <w:rsid w:val="00A3264A"/>
    <w:rsid w:val="00A32701"/>
    <w:rsid w:val="00A330EB"/>
    <w:rsid w:val="00A3337E"/>
    <w:rsid w:val="00A334CC"/>
    <w:rsid w:val="00A33BEC"/>
    <w:rsid w:val="00A34F4D"/>
    <w:rsid w:val="00A3555F"/>
    <w:rsid w:val="00A36568"/>
    <w:rsid w:val="00A40D21"/>
    <w:rsid w:val="00A418F9"/>
    <w:rsid w:val="00A42FDA"/>
    <w:rsid w:val="00A4486A"/>
    <w:rsid w:val="00A44BE1"/>
    <w:rsid w:val="00A4500D"/>
    <w:rsid w:val="00A451C0"/>
    <w:rsid w:val="00A45B08"/>
    <w:rsid w:val="00A45D22"/>
    <w:rsid w:val="00A47CE3"/>
    <w:rsid w:val="00A47D13"/>
    <w:rsid w:val="00A504A8"/>
    <w:rsid w:val="00A51BEE"/>
    <w:rsid w:val="00A51C63"/>
    <w:rsid w:val="00A51F25"/>
    <w:rsid w:val="00A520E0"/>
    <w:rsid w:val="00A524A8"/>
    <w:rsid w:val="00A52D43"/>
    <w:rsid w:val="00A533DB"/>
    <w:rsid w:val="00A53EBE"/>
    <w:rsid w:val="00A542B8"/>
    <w:rsid w:val="00A54719"/>
    <w:rsid w:val="00A54D4D"/>
    <w:rsid w:val="00A54FD8"/>
    <w:rsid w:val="00A55087"/>
    <w:rsid w:val="00A568D7"/>
    <w:rsid w:val="00A56DFF"/>
    <w:rsid w:val="00A5709E"/>
    <w:rsid w:val="00A575BE"/>
    <w:rsid w:val="00A5779A"/>
    <w:rsid w:val="00A60AB0"/>
    <w:rsid w:val="00A611DA"/>
    <w:rsid w:val="00A612B9"/>
    <w:rsid w:val="00A61660"/>
    <w:rsid w:val="00A61FBB"/>
    <w:rsid w:val="00A62139"/>
    <w:rsid w:val="00A6250F"/>
    <w:rsid w:val="00A62CFE"/>
    <w:rsid w:val="00A630F4"/>
    <w:rsid w:val="00A632D8"/>
    <w:rsid w:val="00A64466"/>
    <w:rsid w:val="00A64AE6"/>
    <w:rsid w:val="00A65478"/>
    <w:rsid w:val="00A6580E"/>
    <w:rsid w:val="00A65C12"/>
    <w:rsid w:val="00A65E3D"/>
    <w:rsid w:val="00A66B14"/>
    <w:rsid w:val="00A66CF8"/>
    <w:rsid w:val="00A66F84"/>
    <w:rsid w:val="00A67952"/>
    <w:rsid w:val="00A71148"/>
    <w:rsid w:val="00A71652"/>
    <w:rsid w:val="00A727DA"/>
    <w:rsid w:val="00A730B1"/>
    <w:rsid w:val="00A74EB1"/>
    <w:rsid w:val="00A74F48"/>
    <w:rsid w:val="00A756EC"/>
    <w:rsid w:val="00A75B33"/>
    <w:rsid w:val="00A76E7C"/>
    <w:rsid w:val="00A776D1"/>
    <w:rsid w:val="00A80226"/>
    <w:rsid w:val="00A80327"/>
    <w:rsid w:val="00A8063B"/>
    <w:rsid w:val="00A80A1F"/>
    <w:rsid w:val="00A81159"/>
    <w:rsid w:val="00A815A9"/>
    <w:rsid w:val="00A81A3A"/>
    <w:rsid w:val="00A8274F"/>
    <w:rsid w:val="00A8353E"/>
    <w:rsid w:val="00A83E6C"/>
    <w:rsid w:val="00A84D8D"/>
    <w:rsid w:val="00A854F8"/>
    <w:rsid w:val="00A86F3C"/>
    <w:rsid w:val="00A87A22"/>
    <w:rsid w:val="00A87D0C"/>
    <w:rsid w:val="00A900AE"/>
    <w:rsid w:val="00A90523"/>
    <w:rsid w:val="00A90AFF"/>
    <w:rsid w:val="00A90FCA"/>
    <w:rsid w:val="00A91F41"/>
    <w:rsid w:val="00A923E9"/>
    <w:rsid w:val="00A9330E"/>
    <w:rsid w:val="00A939EE"/>
    <w:rsid w:val="00A93E3F"/>
    <w:rsid w:val="00A93FD6"/>
    <w:rsid w:val="00A941B7"/>
    <w:rsid w:val="00A9447A"/>
    <w:rsid w:val="00A95040"/>
    <w:rsid w:val="00A95088"/>
    <w:rsid w:val="00A957EB"/>
    <w:rsid w:val="00A960AC"/>
    <w:rsid w:val="00A970E9"/>
    <w:rsid w:val="00A975F2"/>
    <w:rsid w:val="00A97B3B"/>
    <w:rsid w:val="00AA15C5"/>
    <w:rsid w:val="00AA19A6"/>
    <w:rsid w:val="00AA289B"/>
    <w:rsid w:val="00AA3298"/>
    <w:rsid w:val="00AA33F4"/>
    <w:rsid w:val="00AA34C8"/>
    <w:rsid w:val="00AA41AA"/>
    <w:rsid w:val="00AA4573"/>
    <w:rsid w:val="00AA4B49"/>
    <w:rsid w:val="00AA5645"/>
    <w:rsid w:val="00AA5B0A"/>
    <w:rsid w:val="00AA61B5"/>
    <w:rsid w:val="00AA6892"/>
    <w:rsid w:val="00AA72B3"/>
    <w:rsid w:val="00AA72CC"/>
    <w:rsid w:val="00AA74FD"/>
    <w:rsid w:val="00AA76B7"/>
    <w:rsid w:val="00AB035E"/>
    <w:rsid w:val="00AB049C"/>
    <w:rsid w:val="00AB1421"/>
    <w:rsid w:val="00AB1A62"/>
    <w:rsid w:val="00AB1D7B"/>
    <w:rsid w:val="00AB1EA3"/>
    <w:rsid w:val="00AB1F49"/>
    <w:rsid w:val="00AB20C0"/>
    <w:rsid w:val="00AB2C6A"/>
    <w:rsid w:val="00AB2DF7"/>
    <w:rsid w:val="00AB2F38"/>
    <w:rsid w:val="00AB3399"/>
    <w:rsid w:val="00AB3D67"/>
    <w:rsid w:val="00AB4EF5"/>
    <w:rsid w:val="00AB74DA"/>
    <w:rsid w:val="00AB7524"/>
    <w:rsid w:val="00AC0382"/>
    <w:rsid w:val="00AC0A4E"/>
    <w:rsid w:val="00AC0CBC"/>
    <w:rsid w:val="00AC2349"/>
    <w:rsid w:val="00AC2BEE"/>
    <w:rsid w:val="00AC3649"/>
    <w:rsid w:val="00AC37B5"/>
    <w:rsid w:val="00AC380B"/>
    <w:rsid w:val="00AC3BB1"/>
    <w:rsid w:val="00AC4276"/>
    <w:rsid w:val="00AC464D"/>
    <w:rsid w:val="00AC51E8"/>
    <w:rsid w:val="00AC57C6"/>
    <w:rsid w:val="00AC57DE"/>
    <w:rsid w:val="00AC6254"/>
    <w:rsid w:val="00AC6278"/>
    <w:rsid w:val="00AC63A1"/>
    <w:rsid w:val="00AC6D6A"/>
    <w:rsid w:val="00AC7699"/>
    <w:rsid w:val="00AD0CA9"/>
    <w:rsid w:val="00AD14F3"/>
    <w:rsid w:val="00AD1C5F"/>
    <w:rsid w:val="00AD1F9D"/>
    <w:rsid w:val="00AD2407"/>
    <w:rsid w:val="00AD2F9B"/>
    <w:rsid w:val="00AD37A5"/>
    <w:rsid w:val="00AD3A92"/>
    <w:rsid w:val="00AD4231"/>
    <w:rsid w:val="00AD62D8"/>
    <w:rsid w:val="00AD7A6A"/>
    <w:rsid w:val="00AD7CEF"/>
    <w:rsid w:val="00AD7D52"/>
    <w:rsid w:val="00AE020C"/>
    <w:rsid w:val="00AE043E"/>
    <w:rsid w:val="00AE086F"/>
    <w:rsid w:val="00AE13B3"/>
    <w:rsid w:val="00AE2076"/>
    <w:rsid w:val="00AE3EBC"/>
    <w:rsid w:val="00AE5146"/>
    <w:rsid w:val="00AE55C5"/>
    <w:rsid w:val="00AE5A4C"/>
    <w:rsid w:val="00AE5A4F"/>
    <w:rsid w:val="00AE6E14"/>
    <w:rsid w:val="00AE7050"/>
    <w:rsid w:val="00AE7B16"/>
    <w:rsid w:val="00AE7F99"/>
    <w:rsid w:val="00AF0635"/>
    <w:rsid w:val="00AF0B65"/>
    <w:rsid w:val="00AF481B"/>
    <w:rsid w:val="00AF499A"/>
    <w:rsid w:val="00AF4F2C"/>
    <w:rsid w:val="00AF69F5"/>
    <w:rsid w:val="00AF7DC2"/>
    <w:rsid w:val="00AF7EEF"/>
    <w:rsid w:val="00B002E0"/>
    <w:rsid w:val="00B0053F"/>
    <w:rsid w:val="00B00AD8"/>
    <w:rsid w:val="00B00F80"/>
    <w:rsid w:val="00B0132A"/>
    <w:rsid w:val="00B025A0"/>
    <w:rsid w:val="00B0263C"/>
    <w:rsid w:val="00B02647"/>
    <w:rsid w:val="00B029C1"/>
    <w:rsid w:val="00B02A67"/>
    <w:rsid w:val="00B03E14"/>
    <w:rsid w:val="00B03FBF"/>
    <w:rsid w:val="00B0478E"/>
    <w:rsid w:val="00B04BB4"/>
    <w:rsid w:val="00B0630F"/>
    <w:rsid w:val="00B06BF6"/>
    <w:rsid w:val="00B07968"/>
    <w:rsid w:val="00B07B19"/>
    <w:rsid w:val="00B107B1"/>
    <w:rsid w:val="00B10FBA"/>
    <w:rsid w:val="00B1108E"/>
    <w:rsid w:val="00B11124"/>
    <w:rsid w:val="00B1189C"/>
    <w:rsid w:val="00B11FF0"/>
    <w:rsid w:val="00B122FC"/>
    <w:rsid w:val="00B12666"/>
    <w:rsid w:val="00B126DA"/>
    <w:rsid w:val="00B12BAF"/>
    <w:rsid w:val="00B12F9B"/>
    <w:rsid w:val="00B13047"/>
    <w:rsid w:val="00B14594"/>
    <w:rsid w:val="00B14771"/>
    <w:rsid w:val="00B15903"/>
    <w:rsid w:val="00B15D46"/>
    <w:rsid w:val="00B15F01"/>
    <w:rsid w:val="00B166B8"/>
    <w:rsid w:val="00B166C8"/>
    <w:rsid w:val="00B16BFB"/>
    <w:rsid w:val="00B17A51"/>
    <w:rsid w:val="00B17F45"/>
    <w:rsid w:val="00B20AB2"/>
    <w:rsid w:val="00B2124A"/>
    <w:rsid w:val="00B2139B"/>
    <w:rsid w:val="00B22097"/>
    <w:rsid w:val="00B228F8"/>
    <w:rsid w:val="00B23604"/>
    <w:rsid w:val="00B243E6"/>
    <w:rsid w:val="00B2468E"/>
    <w:rsid w:val="00B2566A"/>
    <w:rsid w:val="00B2704A"/>
    <w:rsid w:val="00B279BB"/>
    <w:rsid w:val="00B30D0C"/>
    <w:rsid w:val="00B31904"/>
    <w:rsid w:val="00B33012"/>
    <w:rsid w:val="00B330DE"/>
    <w:rsid w:val="00B33468"/>
    <w:rsid w:val="00B351E3"/>
    <w:rsid w:val="00B35364"/>
    <w:rsid w:val="00B35844"/>
    <w:rsid w:val="00B36669"/>
    <w:rsid w:val="00B3764F"/>
    <w:rsid w:val="00B37959"/>
    <w:rsid w:val="00B37BBB"/>
    <w:rsid w:val="00B402FD"/>
    <w:rsid w:val="00B404EE"/>
    <w:rsid w:val="00B40933"/>
    <w:rsid w:val="00B41694"/>
    <w:rsid w:val="00B41991"/>
    <w:rsid w:val="00B42246"/>
    <w:rsid w:val="00B425D5"/>
    <w:rsid w:val="00B426BB"/>
    <w:rsid w:val="00B427B9"/>
    <w:rsid w:val="00B42907"/>
    <w:rsid w:val="00B42BC2"/>
    <w:rsid w:val="00B43371"/>
    <w:rsid w:val="00B43A52"/>
    <w:rsid w:val="00B449B9"/>
    <w:rsid w:val="00B44CA2"/>
    <w:rsid w:val="00B450E8"/>
    <w:rsid w:val="00B454AE"/>
    <w:rsid w:val="00B45964"/>
    <w:rsid w:val="00B47B2D"/>
    <w:rsid w:val="00B5008D"/>
    <w:rsid w:val="00B50208"/>
    <w:rsid w:val="00B507AE"/>
    <w:rsid w:val="00B50D18"/>
    <w:rsid w:val="00B518C8"/>
    <w:rsid w:val="00B51C46"/>
    <w:rsid w:val="00B52088"/>
    <w:rsid w:val="00B52464"/>
    <w:rsid w:val="00B539BC"/>
    <w:rsid w:val="00B55252"/>
    <w:rsid w:val="00B55CF3"/>
    <w:rsid w:val="00B55EAD"/>
    <w:rsid w:val="00B56491"/>
    <w:rsid w:val="00B578EE"/>
    <w:rsid w:val="00B647E5"/>
    <w:rsid w:val="00B655B7"/>
    <w:rsid w:val="00B65BF6"/>
    <w:rsid w:val="00B65D8C"/>
    <w:rsid w:val="00B6613E"/>
    <w:rsid w:val="00B6689C"/>
    <w:rsid w:val="00B66BD3"/>
    <w:rsid w:val="00B670CE"/>
    <w:rsid w:val="00B677AE"/>
    <w:rsid w:val="00B67B79"/>
    <w:rsid w:val="00B67E74"/>
    <w:rsid w:val="00B705EB"/>
    <w:rsid w:val="00B70DA9"/>
    <w:rsid w:val="00B716F8"/>
    <w:rsid w:val="00B71C50"/>
    <w:rsid w:val="00B71D1B"/>
    <w:rsid w:val="00B731F9"/>
    <w:rsid w:val="00B7485A"/>
    <w:rsid w:val="00B74956"/>
    <w:rsid w:val="00B74E94"/>
    <w:rsid w:val="00B7548C"/>
    <w:rsid w:val="00B75EF4"/>
    <w:rsid w:val="00B75F47"/>
    <w:rsid w:val="00B7743E"/>
    <w:rsid w:val="00B80A5E"/>
    <w:rsid w:val="00B818A8"/>
    <w:rsid w:val="00B82234"/>
    <w:rsid w:val="00B8229B"/>
    <w:rsid w:val="00B8283E"/>
    <w:rsid w:val="00B82913"/>
    <w:rsid w:val="00B83455"/>
    <w:rsid w:val="00B837AA"/>
    <w:rsid w:val="00B84AAF"/>
    <w:rsid w:val="00B85FF5"/>
    <w:rsid w:val="00B87CFA"/>
    <w:rsid w:val="00B87D03"/>
    <w:rsid w:val="00B90742"/>
    <w:rsid w:val="00B909E8"/>
    <w:rsid w:val="00B9113A"/>
    <w:rsid w:val="00B919CB"/>
    <w:rsid w:val="00B922A7"/>
    <w:rsid w:val="00B928EE"/>
    <w:rsid w:val="00B92AD5"/>
    <w:rsid w:val="00B92B27"/>
    <w:rsid w:val="00B94BA4"/>
    <w:rsid w:val="00B95637"/>
    <w:rsid w:val="00B965F4"/>
    <w:rsid w:val="00B96D1B"/>
    <w:rsid w:val="00B96EB1"/>
    <w:rsid w:val="00B97DB5"/>
    <w:rsid w:val="00BA04BA"/>
    <w:rsid w:val="00BA1051"/>
    <w:rsid w:val="00BA20D3"/>
    <w:rsid w:val="00BA3219"/>
    <w:rsid w:val="00BA3608"/>
    <w:rsid w:val="00BA4407"/>
    <w:rsid w:val="00BA4898"/>
    <w:rsid w:val="00BA4E30"/>
    <w:rsid w:val="00BA7B00"/>
    <w:rsid w:val="00BB03D7"/>
    <w:rsid w:val="00BB0C17"/>
    <w:rsid w:val="00BB0D86"/>
    <w:rsid w:val="00BB156E"/>
    <w:rsid w:val="00BB194E"/>
    <w:rsid w:val="00BB19D3"/>
    <w:rsid w:val="00BB1C68"/>
    <w:rsid w:val="00BB210A"/>
    <w:rsid w:val="00BB28C8"/>
    <w:rsid w:val="00BB2A99"/>
    <w:rsid w:val="00BB36BE"/>
    <w:rsid w:val="00BB3ABA"/>
    <w:rsid w:val="00BB3E79"/>
    <w:rsid w:val="00BB42C7"/>
    <w:rsid w:val="00BB464F"/>
    <w:rsid w:val="00BB4FEC"/>
    <w:rsid w:val="00BB5107"/>
    <w:rsid w:val="00BB65B1"/>
    <w:rsid w:val="00BB69D5"/>
    <w:rsid w:val="00BC03E1"/>
    <w:rsid w:val="00BC0BC5"/>
    <w:rsid w:val="00BC0E3E"/>
    <w:rsid w:val="00BC154C"/>
    <w:rsid w:val="00BC31E5"/>
    <w:rsid w:val="00BC3207"/>
    <w:rsid w:val="00BC342F"/>
    <w:rsid w:val="00BC3781"/>
    <w:rsid w:val="00BC3824"/>
    <w:rsid w:val="00BC4593"/>
    <w:rsid w:val="00BC54A5"/>
    <w:rsid w:val="00BC57BD"/>
    <w:rsid w:val="00BC6A85"/>
    <w:rsid w:val="00BC726A"/>
    <w:rsid w:val="00BC7994"/>
    <w:rsid w:val="00BC7EB1"/>
    <w:rsid w:val="00BC7F6B"/>
    <w:rsid w:val="00BD05BF"/>
    <w:rsid w:val="00BD08C4"/>
    <w:rsid w:val="00BD0BC0"/>
    <w:rsid w:val="00BD20CA"/>
    <w:rsid w:val="00BD2B8B"/>
    <w:rsid w:val="00BD2F59"/>
    <w:rsid w:val="00BD3158"/>
    <w:rsid w:val="00BD3176"/>
    <w:rsid w:val="00BD31E2"/>
    <w:rsid w:val="00BD34C9"/>
    <w:rsid w:val="00BD40A9"/>
    <w:rsid w:val="00BD41E1"/>
    <w:rsid w:val="00BD464A"/>
    <w:rsid w:val="00BD4B01"/>
    <w:rsid w:val="00BD4F2B"/>
    <w:rsid w:val="00BD4F42"/>
    <w:rsid w:val="00BD4FFB"/>
    <w:rsid w:val="00BD58EB"/>
    <w:rsid w:val="00BD6CFB"/>
    <w:rsid w:val="00BD7787"/>
    <w:rsid w:val="00BD7E1D"/>
    <w:rsid w:val="00BE0450"/>
    <w:rsid w:val="00BE1F41"/>
    <w:rsid w:val="00BE282C"/>
    <w:rsid w:val="00BE28BE"/>
    <w:rsid w:val="00BE2902"/>
    <w:rsid w:val="00BE3062"/>
    <w:rsid w:val="00BE35BD"/>
    <w:rsid w:val="00BE3668"/>
    <w:rsid w:val="00BE3B97"/>
    <w:rsid w:val="00BE3CED"/>
    <w:rsid w:val="00BE4069"/>
    <w:rsid w:val="00BE42CB"/>
    <w:rsid w:val="00BE46F6"/>
    <w:rsid w:val="00BE4A07"/>
    <w:rsid w:val="00BE6162"/>
    <w:rsid w:val="00BE6AE2"/>
    <w:rsid w:val="00BE6C9C"/>
    <w:rsid w:val="00BE77A5"/>
    <w:rsid w:val="00BE7DF3"/>
    <w:rsid w:val="00BF0409"/>
    <w:rsid w:val="00BF0850"/>
    <w:rsid w:val="00BF09AC"/>
    <w:rsid w:val="00BF1C98"/>
    <w:rsid w:val="00BF2748"/>
    <w:rsid w:val="00BF2F94"/>
    <w:rsid w:val="00BF3582"/>
    <w:rsid w:val="00BF3613"/>
    <w:rsid w:val="00BF37B7"/>
    <w:rsid w:val="00BF37BC"/>
    <w:rsid w:val="00BF5969"/>
    <w:rsid w:val="00BF5C82"/>
    <w:rsid w:val="00BF63FF"/>
    <w:rsid w:val="00BF71BF"/>
    <w:rsid w:val="00BF79D1"/>
    <w:rsid w:val="00BF7A5E"/>
    <w:rsid w:val="00BF7CFD"/>
    <w:rsid w:val="00C0085D"/>
    <w:rsid w:val="00C00930"/>
    <w:rsid w:val="00C00E47"/>
    <w:rsid w:val="00C010AA"/>
    <w:rsid w:val="00C013EF"/>
    <w:rsid w:val="00C0271F"/>
    <w:rsid w:val="00C0320A"/>
    <w:rsid w:val="00C03241"/>
    <w:rsid w:val="00C03A1D"/>
    <w:rsid w:val="00C03E47"/>
    <w:rsid w:val="00C04F02"/>
    <w:rsid w:val="00C05FD8"/>
    <w:rsid w:val="00C069A9"/>
    <w:rsid w:val="00C06F86"/>
    <w:rsid w:val="00C06FF6"/>
    <w:rsid w:val="00C074A2"/>
    <w:rsid w:val="00C0773C"/>
    <w:rsid w:val="00C07B52"/>
    <w:rsid w:val="00C10D92"/>
    <w:rsid w:val="00C11157"/>
    <w:rsid w:val="00C112D6"/>
    <w:rsid w:val="00C1132F"/>
    <w:rsid w:val="00C11D21"/>
    <w:rsid w:val="00C11EFC"/>
    <w:rsid w:val="00C1238A"/>
    <w:rsid w:val="00C12BCC"/>
    <w:rsid w:val="00C12E5B"/>
    <w:rsid w:val="00C1327F"/>
    <w:rsid w:val="00C13CF9"/>
    <w:rsid w:val="00C14B1D"/>
    <w:rsid w:val="00C151D4"/>
    <w:rsid w:val="00C1675F"/>
    <w:rsid w:val="00C172FB"/>
    <w:rsid w:val="00C174CF"/>
    <w:rsid w:val="00C21501"/>
    <w:rsid w:val="00C21D44"/>
    <w:rsid w:val="00C21F2D"/>
    <w:rsid w:val="00C220C1"/>
    <w:rsid w:val="00C2218F"/>
    <w:rsid w:val="00C225A6"/>
    <w:rsid w:val="00C23439"/>
    <w:rsid w:val="00C23631"/>
    <w:rsid w:val="00C23AFD"/>
    <w:rsid w:val="00C23B86"/>
    <w:rsid w:val="00C23E52"/>
    <w:rsid w:val="00C242DE"/>
    <w:rsid w:val="00C24C41"/>
    <w:rsid w:val="00C251BD"/>
    <w:rsid w:val="00C2598B"/>
    <w:rsid w:val="00C25A5F"/>
    <w:rsid w:val="00C27213"/>
    <w:rsid w:val="00C278C2"/>
    <w:rsid w:val="00C30E9B"/>
    <w:rsid w:val="00C30EDA"/>
    <w:rsid w:val="00C3165A"/>
    <w:rsid w:val="00C31C4C"/>
    <w:rsid w:val="00C32425"/>
    <w:rsid w:val="00C33DEA"/>
    <w:rsid w:val="00C33E8B"/>
    <w:rsid w:val="00C34540"/>
    <w:rsid w:val="00C34B22"/>
    <w:rsid w:val="00C353D0"/>
    <w:rsid w:val="00C35AE1"/>
    <w:rsid w:val="00C365C8"/>
    <w:rsid w:val="00C36A8C"/>
    <w:rsid w:val="00C37896"/>
    <w:rsid w:val="00C378A3"/>
    <w:rsid w:val="00C37E88"/>
    <w:rsid w:val="00C40CED"/>
    <w:rsid w:val="00C40DC5"/>
    <w:rsid w:val="00C41C54"/>
    <w:rsid w:val="00C41D23"/>
    <w:rsid w:val="00C41E55"/>
    <w:rsid w:val="00C42DA3"/>
    <w:rsid w:val="00C43809"/>
    <w:rsid w:val="00C4393E"/>
    <w:rsid w:val="00C440E9"/>
    <w:rsid w:val="00C450D8"/>
    <w:rsid w:val="00C45167"/>
    <w:rsid w:val="00C45D27"/>
    <w:rsid w:val="00C46219"/>
    <w:rsid w:val="00C473CE"/>
    <w:rsid w:val="00C47572"/>
    <w:rsid w:val="00C50168"/>
    <w:rsid w:val="00C5087B"/>
    <w:rsid w:val="00C50CA6"/>
    <w:rsid w:val="00C50DA8"/>
    <w:rsid w:val="00C5180C"/>
    <w:rsid w:val="00C52111"/>
    <w:rsid w:val="00C523E4"/>
    <w:rsid w:val="00C5255D"/>
    <w:rsid w:val="00C52BDF"/>
    <w:rsid w:val="00C531B7"/>
    <w:rsid w:val="00C53622"/>
    <w:rsid w:val="00C54982"/>
    <w:rsid w:val="00C54B0E"/>
    <w:rsid w:val="00C54B46"/>
    <w:rsid w:val="00C54E6C"/>
    <w:rsid w:val="00C55B71"/>
    <w:rsid w:val="00C55FC9"/>
    <w:rsid w:val="00C56809"/>
    <w:rsid w:val="00C56DB9"/>
    <w:rsid w:val="00C5747A"/>
    <w:rsid w:val="00C57671"/>
    <w:rsid w:val="00C60107"/>
    <w:rsid w:val="00C61916"/>
    <w:rsid w:val="00C621A1"/>
    <w:rsid w:val="00C6258B"/>
    <w:rsid w:val="00C63153"/>
    <w:rsid w:val="00C63284"/>
    <w:rsid w:val="00C6394D"/>
    <w:rsid w:val="00C63CB8"/>
    <w:rsid w:val="00C641CF"/>
    <w:rsid w:val="00C64DB8"/>
    <w:rsid w:val="00C65327"/>
    <w:rsid w:val="00C658E0"/>
    <w:rsid w:val="00C65B35"/>
    <w:rsid w:val="00C65B80"/>
    <w:rsid w:val="00C66612"/>
    <w:rsid w:val="00C67235"/>
    <w:rsid w:val="00C67382"/>
    <w:rsid w:val="00C70488"/>
    <w:rsid w:val="00C70B4F"/>
    <w:rsid w:val="00C70C17"/>
    <w:rsid w:val="00C72471"/>
    <w:rsid w:val="00C72B4C"/>
    <w:rsid w:val="00C73232"/>
    <w:rsid w:val="00C73309"/>
    <w:rsid w:val="00C74112"/>
    <w:rsid w:val="00C74E55"/>
    <w:rsid w:val="00C768CA"/>
    <w:rsid w:val="00C77363"/>
    <w:rsid w:val="00C773A8"/>
    <w:rsid w:val="00C8086B"/>
    <w:rsid w:val="00C80C2B"/>
    <w:rsid w:val="00C81C19"/>
    <w:rsid w:val="00C827A0"/>
    <w:rsid w:val="00C82D97"/>
    <w:rsid w:val="00C84D14"/>
    <w:rsid w:val="00C86878"/>
    <w:rsid w:val="00C8772A"/>
    <w:rsid w:val="00C90144"/>
    <w:rsid w:val="00C91C45"/>
    <w:rsid w:val="00C91DE9"/>
    <w:rsid w:val="00C92322"/>
    <w:rsid w:val="00C931E6"/>
    <w:rsid w:val="00C9369C"/>
    <w:rsid w:val="00C937D1"/>
    <w:rsid w:val="00C93942"/>
    <w:rsid w:val="00C93EDD"/>
    <w:rsid w:val="00C93FFE"/>
    <w:rsid w:val="00C9448E"/>
    <w:rsid w:val="00C94BEA"/>
    <w:rsid w:val="00C953EF"/>
    <w:rsid w:val="00C953F6"/>
    <w:rsid w:val="00C9621F"/>
    <w:rsid w:val="00C96EE8"/>
    <w:rsid w:val="00C97A69"/>
    <w:rsid w:val="00C97FD3"/>
    <w:rsid w:val="00CA0363"/>
    <w:rsid w:val="00CA049F"/>
    <w:rsid w:val="00CA06A4"/>
    <w:rsid w:val="00CA1580"/>
    <w:rsid w:val="00CA180F"/>
    <w:rsid w:val="00CA24DF"/>
    <w:rsid w:val="00CA2B80"/>
    <w:rsid w:val="00CA2D45"/>
    <w:rsid w:val="00CA3C87"/>
    <w:rsid w:val="00CA501F"/>
    <w:rsid w:val="00CA506F"/>
    <w:rsid w:val="00CA5922"/>
    <w:rsid w:val="00CA59FA"/>
    <w:rsid w:val="00CA61CF"/>
    <w:rsid w:val="00CA63A8"/>
    <w:rsid w:val="00CA66C7"/>
    <w:rsid w:val="00CA7247"/>
    <w:rsid w:val="00CB010D"/>
    <w:rsid w:val="00CB0345"/>
    <w:rsid w:val="00CB073E"/>
    <w:rsid w:val="00CB09B3"/>
    <w:rsid w:val="00CB1749"/>
    <w:rsid w:val="00CB1DBB"/>
    <w:rsid w:val="00CB2F9C"/>
    <w:rsid w:val="00CB3A9F"/>
    <w:rsid w:val="00CB5048"/>
    <w:rsid w:val="00CB5483"/>
    <w:rsid w:val="00CB5A10"/>
    <w:rsid w:val="00CB5B71"/>
    <w:rsid w:val="00CB5FFB"/>
    <w:rsid w:val="00CB66CA"/>
    <w:rsid w:val="00CB6786"/>
    <w:rsid w:val="00CC0151"/>
    <w:rsid w:val="00CC02D5"/>
    <w:rsid w:val="00CC0775"/>
    <w:rsid w:val="00CC0888"/>
    <w:rsid w:val="00CC096B"/>
    <w:rsid w:val="00CC10DA"/>
    <w:rsid w:val="00CC156D"/>
    <w:rsid w:val="00CC2437"/>
    <w:rsid w:val="00CC261F"/>
    <w:rsid w:val="00CC39DE"/>
    <w:rsid w:val="00CC5283"/>
    <w:rsid w:val="00CC58C3"/>
    <w:rsid w:val="00CC621E"/>
    <w:rsid w:val="00CC65CC"/>
    <w:rsid w:val="00CC70B3"/>
    <w:rsid w:val="00CD0008"/>
    <w:rsid w:val="00CD01D4"/>
    <w:rsid w:val="00CD1739"/>
    <w:rsid w:val="00CD229F"/>
    <w:rsid w:val="00CD2A4A"/>
    <w:rsid w:val="00CD358F"/>
    <w:rsid w:val="00CD40F4"/>
    <w:rsid w:val="00CD4A77"/>
    <w:rsid w:val="00CD596A"/>
    <w:rsid w:val="00CD59F9"/>
    <w:rsid w:val="00CD5B7C"/>
    <w:rsid w:val="00CD748F"/>
    <w:rsid w:val="00CD7A9B"/>
    <w:rsid w:val="00CD7E60"/>
    <w:rsid w:val="00CD7FEE"/>
    <w:rsid w:val="00CE00FF"/>
    <w:rsid w:val="00CE025B"/>
    <w:rsid w:val="00CE0F29"/>
    <w:rsid w:val="00CE14D2"/>
    <w:rsid w:val="00CE1600"/>
    <w:rsid w:val="00CE16DF"/>
    <w:rsid w:val="00CE1F9E"/>
    <w:rsid w:val="00CE296D"/>
    <w:rsid w:val="00CE2D1F"/>
    <w:rsid w:val="00CE3E7D"/>
    <w:rsid w:val="00CE40AF"/>
    <w:rsid w:val="00CE4DEE"/>
    <w:rsid w:val="00CE52F0"/>
    <w:rsid w:val="00CE622C"/>
    <w:rsid w:val="00CE7A0E"/>
    <w:rsid w:val="00CF18A3"/>
    <w:rsid w:val="00CF356A"/>
    <w:rsid w:val="00CF47B5"/>
    <w:rsid w:val="00CF4835"/>
    <w:rsid w:val="00CF4A61"/>
    <w:rsid w:val="00CF4F99"/>
    <w:rsid w:val="00CF5853"/>
    <w:rsid w:val="00CF63D9"/>
    <w:rsid w:val="00CF7F49"/>
    <w:rsid w:val="00D00C22"/>
    <w:rsid w:val="00D016F8"/>
    <w:rsid w:val="00D01753"/>
    <w:rsid w:val="00D01C79"/>
    <w:rsid w:val="00D02809"/>
    <w:rsid w:val="00D029CB"/>
    <w:rsid w:val="00D04274"/>
    <w:rsid w:val="00D045B0"/>
    <w:rsid w:val="00D05030"/>
    <w:rsid w:val="00D053A1"/>
    <w:rsid w:val="00D05A8B"/>
    <w:rsid w:val="00D06659"/>
    <w:rsid w:val="00D0699D"/>
    <w:rsid w:val="00D07466"/>
    <w:rsid w:val="00D07C37"/>
    <w:rsid w:val="00D104D1"/>
    <w:rsid w:val="00D10D65"/>
    <w:rsid w:val="00D13190"/>
    <w:rsid w:val="00D13DF9"/>
    <w:rsid w:val="00D1447E"/>
    <w:rsid w:val="00D15883"/>
    <w:rsid w:val="00D164B7"/>
    <w:rsid w:val="00D16B7E"/>
    <w:rsid w:val="00D1747A"/>
    <w:rsid w:val="00D205D0"/>
    <w:rsid w:val="00D20E32"/>
    <w:rsid w:val="00D21306"/>
    <w:rsid w:val="00D2150D"/>
    <w:rsid w:val="00D2151A"/>
    <w:rsid w:val="00D22151"/>
    <w:rsid w:val="00D228F2"/>
    <w:rsid w:val="00D23418"/>
    <w:rsid w:val="00D23651"/>
    <w:rsid w:val="00D2386F"/>
    <w:rsid w:val="00D240AB"/>
    <w:rsid w:val="00D24536"/>
    <w:rsid w:val="00D24D9D"/>
    <w:rsid w:val="00D25CA2"/>
    <w:rsid w:val="00D2622C"/>
    <w:rsid w:val="00D26693"/>
    <w:rsid w:val="00D26BCB"/>
    <w:rsid w:val="00D26CC6"/>
    <w:rsid w:val="00D26F73"/>
    <w:rsid w:val="00D2717F"/>
    <w:rsid w:val="00D272C3"/>
    <w:rsid w:val="00D27446"/>
    <w:rsid w:val="00D275C6"/>
    <w:rsid w:val="00D27639"/>
    <w:rsid w:val="00D30B57"/>
    <w:rsid w:val="00D30F45"/>
    <w:rsid w:val="00D31B5E"/>
    <w:rsid w:val="00D31E80"/>
    <w:rsid w:val="00D323BE"/>
    <w:rsid w:val="00D33245"/>
    <w:rsid w:val="00D3386A"/>
    <w:rsid w:val="00D33B9B"/>
    <w:rsid w:val="00D3498B"/>
    <w:rsid w:val="00D34FAC"/>
    <w:rsid w:val="00D35B67"/>
    <w:rsid w:val="00D369E4"/>
    <w:rsid w:val="00D37BF2"/>
    <w:rsid w:val="00D37C3F"/>
    <w:rsid w:val="00D37F41"/>
    <w:rsid w:val="00D4150D"/>
    <w:rsid w:val="00D41A51"/>
    <w:rsid w:val="00D41A71"/>
    <w:rsid w:val="00D42AA6"/>
    <w:rsid w:val="00D42DFD"/>
    <w:rsid w:val="00D44859"/>
    <w:rsid w:val="00D4579C"/>
    <w:rsid w:val="00D45DD7"/>
    <w:rsid w:val="00D45E14"/>
    <w:rsid w:val="00D472AB"/>
    <w:rsid w:val="00D47484"/>
    <w:rsid w:val="00D4755C"/>
    <w:rsid w:val="00D50DBC"/>
    <w:rsid w:val="00D5119E"/>
    <w:rsid w:val="00D51229"/>
    <w:rsid w:val="00D52834"/>
    <w:rsid w:val="00D544FE"/>
    <w:rsid w:val="00D5552B"/>
    <w:rsid w:val="00D5596F"/>
    <w:rsid w:val="00D55A64"/>
    <w:rsid w:val="00D560F9"/>
    <w:rsid w:val="00D5651C"/>
    <w:rsid w:val="00D5694F"/>
    <w:rsid w:val="00D56F3F"/>
    <w:rsid w:val="00D60127"/>
    <w:rsid w:val="00D610EE"/>
    <w:rsid w:val="00D61202"/>
    <w:rsid w:val="00D61941"/>
    <w:rsid w:val="00D61982"/>
    <w:rsid w:val="00D61F13"/>
    <w:rsid w:val="00D62304"/>
    <w:rsid w:val="00D624E9"/>
    <w:rsid w:val="00D65544"/>
    <w:rsid w:val="00D66347"/>
    <w:rsid w:val="00D67207"/>
    <w:rsid w:val="00D672D6"/>
    <w:rsid w:val="00D679CF"/>
    <w:rsid w:val="00D67D4A"/>
    <w:rsid w:val="00D7009C"/>
    <w:rsid w:val="00D70B9D"/>
    <w:rsid w:val="00D71ECC"/>
    <w:rsid w:val="00D726BE"/>
    <w:rsid w:val="00D72B46"/>
    <w:rsid w:val="00D72C8F"/>
    <w:rsid w:val="00D73122"/>
    <w:rsid w:val="00D7319B"/>
    <w:rsid w:val="00D73818"/>
    <w:rsid w:val="00D73AC5"/>
    <w:rsid w:val="00D748F7"/>
    <w:rsid w:val="00D75886"/>
    <w:rsid w:val="00D75D2E"/>
    <w:rsid w:val="00D76978"/>
    <w:rsid w:val="00D776E8"/>
    <w:rsid w:val="00D8050D"/>
    <w:rsid w:val="00D806A3"/>
    <w:rsid w:val="00D808C6"/>
    <w:rsid w:val="00D81BAC"/>
    <w:rsid w:val="00D82644"/>
    <w:rsid w:val="00D82797"/>
    <w:rsid w:val="00D82B84"/>
    <w:rsid w:val="00D83149"/>
    <w:rsid w:val="00D83173"/>
    <w:rsid w:val="00D8380A"/>
    <w:rsid w:val="00D84ABB"/>
    <w:rsid w:val="00D85273"/>
    <w:rsid w:val="00D86508"/>
    <w:rsid w:val="00D87E2A"/>
    <w:rsid w:val="00D87EC6"/>
    <w:rsid w:val="00D9005A"/>
    <w:rsid w:val="00D904E7"/>
    <w:rsid w:val="00D90CC5"/>
    <w:rsid w:val="00D91B06"/>
    <w:rsid w:val="00D92C6A"/>
    <w:rsid w:val="00D92D7E"/>
    <w:rsid w:val="00D93FB1"/>
    <w:rsid w:val="00D9503E"/>
    <w:rsid w:val="00D95330"/>
    <w:rsid w:val="00D95BE0"/>
    <w:rsid w:val="00D960FD"/>
    <w:rsid w:val="00D97344"/>
    <w:rsid w:val="00DA0D39"/>
    <w:rsid w:val="00DA12AB"/>
    <w:rsid w:val="00DA13F1"/>
    <w:rsid w:val="00DA14BF"/>
    <w:rsid w:val="00DA2944"/>
    <w:rsid w:val="00DA2F4D"/>
    <w:rsid w:val="00DA358C"/>
    <w:rsid w:val="00DA38FA"/>
    <w:rsid w:val="00DA3C20"/>
    <w:rsid w:val="00DA3C9C"/>
    <w:rsid w:val="00DA7973"/>
    <w:rsid w:val="00DB0B14"/>
    <w:rsid w:val="00DB0C80"/>
    <w:rsid w:val="00DB1150"/>
    <w:rsid w:val="00DB1736"/>
    <w:rsid w:val="00DB1878"/>
    <w:rsid w:val="00DB2A23"/>
    <w:rsid w:val="00DB3689"/>
    <w:rsid w:val="00DB3767"/>
    <w:rsid w:val="00DB39E0"/>
    <w:rsid w:val="00DB4046"/>
    <w:rsid w:val="00DB437A"/>
    <w:rsid w:val="00DB4AE3"/>
    <w:rsid w:val="00DB5F4B"/>
    <w:rsid w:val="00DB60E1"/>
    <w:rsid w:val="00DB7295"/>
    <w:rsid w:val="00DB7729"/>
    <w:rsid w:val="00DB7ED4"/>
    <w:rsid w:val="00DC012A"/>
    <w:rsid w:val="00DC0C2A"/>
    <w:rsid w:val="00DC0ED2"/>
    <w:rsid w:val="00DC0F01"/>
    <w:rsid w:val="00DC1192"/>
    <w:rsid w:val="00DC12FB"/>
    <w:rsid w:val="00DC18F9"/>
    <w:rsid w:val="00DC2238"/>
    <w:rsid w:val="00DC2267"/>
    <w:rsid w:val="00DC226C"/>
    <w:rsid w:val="00DC22BE"/>
    <w:rsid w:val="00DC2F49"/>
    <w:rsid w:val="00DC2FA2"/>
    <w:rsid w:val="00DC3BD2"/>
    <w:rsid w:val="00DC3D3E"/>
    <w:rsid w:val="00DC5006"/>
    <w:rsid w:val="00DC5BE4"/>
    <w:rsid w:val="00DC5F62"/>
    <w:rsid w:val="00DC6142"/>
    <w:rsid w:val="00DC6A04"/>
    <w:rsid w:val="00DC716C"/>
    <w:rsid w:val="00DC79FF"/>
    <w:rsid w:val="00DC7FAF"/>
    <w:rsid w:val="00DD00B8"/>
    <w:rsid w:val="00DD02BA"/>
    <w:rsid w:val="00DD07AF"/>
    <w:rsid w:val="00DD07B8"/>
    <w:rsid w:val="00DD100B"/>
    <w:rsid w:val="00DD22FB"/>
    <w:rsid w:val="00DD2460"/>
    <w:rsid w:val="00DD249D"/>
    <w:rsid w:val="00DD2F40"/>
    <w:rsid w:val="00DD42F9"/>
    <w:rsid w:val="00DD4648"/>
    <w:rsid w:val="00DD4911"/>
    <w:rsid w:val="00DD5A65"/>
    <w:rsid w:val="00DD5B6C"/>
    <w:rsid w:val="00DD6B17"/>
    <w:rsid w:val="00DE026C"/>
    <w:rsid w:val="00DE03A6"/>
    <w:rsid w:val="00DE04B1"/>
    <w:rsid w:val="00DE0693"/>
    <w:rsid w:val="00DE0E11"/>
    <w:rsid w:val="00DE1872"/>
    <w:rsid w:val="00DE1B4A"/>
    <w:rsid w:val="00DE1FD8"/>
    <w:rsid w:val="00DE2CFF"/>
    <w:rsid w:val="00DE2DBC"/>
    <w:rsid w:val="00DE3330"/>
    <w:rsid w:val="00DE3F95"/>
    <w:rsid w:val="00DE4DC6"/>
    <w:rsid w:val="00DE5186"/>
    <w:rsid w:val="00DE5483"/>
    <w:rsid w:val="00DE56FA"/>
    <w:rsid w:val="00DE5939"/>
    <w:rsid w:val="00DE6CF6"/>
    <w:rsid w:val="00DE70E0"/>
    <w:rsid w:val="00DE74B3"/>
    <w:rsid w:val="00DF09D2"/>
    <w:rsid w:val="00DF0C85"/>
    <w:rsid w:val="00DF0F2C"/>
    <w:rsid w:val="00DF10B1"/>
    <w:rsid w:val="00DF2997"/>
    <w:rsid w:val="00DF3CFF"/>
    <w:rsid w:val="00DF4974"/>
    <w:rsid w:val="00DF4CBC"/>
    <w:rsid w:val="00DF4ED0"/>
    <w:rsid w:val="00DF5370"/>
    <w:rsid w:val="00DF542D"/>
    <w:rsid w:val="00DF55EA"/>
    <w:rsid w:val="00DF5D1D"/>
    <w:rsid w:val="00E0032E"/>
    <w:rsid w:val="00E00F7E"/>
    <w:rsid w:val="00E0205D"/>
    <w:rsid w:val="00E025B0"/>
    <w:rsid w:val="00E031DD"/>
    <w:rsid w:val="00E03EE2"/>
    <w:rsid w:val="00E0643B"/>
    <w:rsid w:val="00E06DF3"/>
    <w:rsid w:val="00E07166"/>
    <w:rsid w:val="00E1018A"/>
    <w:rsid w:val="00E105B6"/>
    <w:rsid w:val="00E10622"/>
    <w:rsid w:val="00E10C58"/>
    <w:rsid w:val="00E11215"/>
    <w:rsid w:val="00E119DA"/>
    <w:rsid w:val="00E1203C"/>
    <w:rsid w:val="00E120F4"/>
    <w:rsid w:val="00E1243B"/>
    <w:rsid w:val="00E1349B"/>
    <w:rsid w:val="00E13820"/>
    <w:rsid w:val="00E14DBF"/>
    <w:rsid w:val="00E153F6"/>
    <w:rsid w:val="00E15F7E"/>
    <w:rsid w:val="00E16076"/>
    <w:rsid w:val="00E16522"/>
    <w:rsid w:val="00E1660A"/>
    <w:rsid w:val="00E16A8F"/>
    <w:rsid w:val="00E16B8C"/>
    <w:rsid w:val="00E173DF"/>
    <w:rsid w:val="00E1765A"/>
    <w:rsid w:val="00E20246"/>
    <w:rsid w:val="00E20C52"/>
    <w:rsid w:val="00E20EBF"/>
    <w:rsid w:val="00E21AD3"/>
    <w:rsid w:val="00E225B2"/>
    <w:rsid w:val="00E22A02"/>
    <w:rsid w:val="00E22BD0"/>
    <w:rsid w:val="00E23A83"/>
    <w:rsid w:val="00E24060"/>
    <w:rsid w:val="00E245C6"/>
    <w:rsid w:val="00E24BF8"/>
    <w:rsid w:val="00E25819"/>
    <w:rsid w:val="00E25EEA"/>
    <w:rsid w:val="00E275D4"/>
    <w:rsid w:val="00E2782E"/>
    <w:rsid w:val="00E278CC"/>
    <w:rsid w:val="00E27ECA"/>
    <w:rsid w:val="00E27FC2"/>
    <w:rsid w:val="00E301D7"/>
    <w:rsid w:val="00E3043A"/>
    <w:rsid w:val="00E31912"/>
    <w:rsid w:val="00E31B60"/>
    <w:rsid w:val="00E32B08"/>
    <w:rsid w:val="00E33666"/>
    <w:rsid w:val="00E339DA"/>
    <w:rsid w:val="00E346CB"/>
    <w:rsid w:val="00E34BE1"/>
    <w:rsid w:val="00E34D88"/>
    <w:rsid w:val="00E353DB"/>
    <w:rsid w:val="00E36375"/>
    <w:rsid w:val="00E403A8"/>
    <w:rsid w:val="00E40C32"/>
    <w:rsid w:val="00E40D48"/>
    <w:rsid w:val="00E40DBF"/>
    <w:rsid w:val="00E419C8"/>
    <w:rsid w:val="00E424BE"/>
    <w:rsid w:val="00E429CF"/>
    <w:rsid w:val="00E42C98"/>
    <w:rsid w:val="00E43797"/>
    <w:rsid w:val="00E43798"/>
    <w:rsid w:val="00E43842"/>
    <w:rsid w:val="00E43A79"/>
    <w:rsid w:val="00E43F21"/>
    <w:rsid w:val="00E44C09"/>
    <w:rsid w:val="00E44E5E"/>
    <w:rsid w:val="00E45AD9"/>
    <w:rsid w:val="00E4639E"/>
    <w:rsid w:val="00E468CA"/>
    <w:rsid w:val="00E4776E"/>
    <w:rsid w:val="00E47CAE"/>
    <w:rsid w:val="00E47D3F"/>
    <w:rsid w:val="00E50286"/>
    <w:rsid w:val="00E521EE"/>
    <w:rsid w:val="00E52CFF"/>
    <w:rsid w:val="00E54DD8"/>
    <w:rsid w:val="00E556C7"/>
    <w:rsid w:val="00E570EC"/>
    <w:rsid w:val="00E5712B"/>
    <w:rsid w:val="00E571F7"/>
    <w:rsid w:val="00E57A4B"/>
    <w:rsid w:val="00E57AEE"/>
    <w:rsid w:val="00E57D96"/>
    <w:rsid w:val="00E601F7"/>
    <w:rsid w:val="00E60F04"/>
    <w:rsid w:val="00E6162D"/>
    <w:rsid w:val="00E61888"/>
    <w:rsid w:val="00E61C13"/>
    <w:rsid w:val="00E62084"/>
    <w:rsid w:val="00E621D8"/>
    <w:rsid w:val="00E62B3D"/>
    <w:rsid w:val="00E6312D"/>
    <w:rsid w:val="00E6315A"/>
    <w:rsid w:val="00E63443"/>
    <w:rsid w:val="00E6380A"/>
    <w:rsid w:val="00E63986"/>
    <w:rsid w:val="00E64328"/>
    <w:rsid w:val="00E6491D"/>
    <w:rsid w:val="00E65554"/>
    <w:rsid w:val="00E659F9"/>
    <w:rsid w:val="00E65D9F"/>
    <w:rsid w:val="00E65E86"/>
    <w:rsid w:val="00E666E6"/>
    <w:rsid w:val="00E66703"/>
    <w:rsid w:val="00E66C3B"/>
    <w:rsid w:val="00E66D9E"/>
    <w:rsid w:val="00E66EB2"/>
    <w:rsid w:val="00E71803"/>
    <w:rsid w:val="00E7180F"/>
    <w:rsid w:val="00E71B00"/>
    <w:rsid w:val="00E720C4"/>
    <w:rsid w:val="00E73C7F"/>
    <w:rsid w:val="00E73DDF"/>
    <w:rsid w:val="00E740D9"/>
    <w:rsid w:val="00E74137"/>
    <w:rsid w:val="00E75054"/>
    <w:rsid w:val="00E75BBB"/>
    <w:rsid w:val="00E76EC2"/>
    <w:rsid w:val="00E775D1"/>
    <w:rsid w:val="00E77678"/>
    <w:rsid w:val="00E77C5E"/>
    <w:rsid w:val="00E810B6"/>
    <w:rsid w:val="00E81C1A"/>
    <w:rsid w:val="00E8224F"/>
    <w:rsid w:val="00E832E5"/>
    <w:rsid w:val="00E8371D"/>
    <w:rsid w:val="00E83F3B"/>
    <w:rsid w:val="00E853FB"/>
    <w:rsid w:val="00E85E3C"/>
    <w:rsid w:val="00E8738D"/>
    <w:rsid w:val="00E90177"/>
    <w:rsid w:val="00E9062E"/>
    <w:rsid w:val="00E90819"/>
    <w:rsid w:val="00E91E3B"/>
    <w:rsid w:val="00E920AB"/>
    <w:rsid w:val="00E92389"/>
    <w:rsid w:val="00E92ED6"/>
    <w:rsid w:val="00E93267"/>
    <w:rsid w:val="00E943EE"/>
    <w:rsid w:val="00E95598"/>
    <w:rsid w:val="00E95B45"/>
    <w:rsid w:val="00E964CF"/>
    <w:rsid w:val="00E96CC1"/>
    <w:rsid w:val="00E96FEB"/>
    <w:rsid w:val="00E97732"/>
    <w:rsid w:val="00EA0184"/>
    <w:rsid w:val="00EA0385"/>
    <w:rsid w:val="00EA1861"/>
    <w:rsid w:val="00EA23A4"/>
    <w:rsid w:val="00EA3192"/>
    <w:rsid w:val="00EA3791"/>
    <w:rsid w:val="00EA3A2F"/>
    <w:rsid w:val="00EA3AF4"/>
    <w:rsid w:val="00EA3EB3"/>
    <w:rsid w:val="00EA4D0C"/>
    <w:rsid w:val="00EA4E53"/>
    <w:rsid w:val="00EA573E"/>
    <w:rsid w:val="00EA6259"/>
    <w:rsid w:val="00EA63A0"/>
    <w:rsid w:val="00EA74D6"/>
    <w:rsid w:val="00EA7720"/>
    <w:rsid w:val="00EA7F21"/>
    <w:rsid w:val="00EB134E"/>
    <w:rsid w:val="00EB1559"/>
    <w:rsid w:val="00EB1663"/>
    <w:rsid w:val="00EB1A7E"/>
    <w:rsid w:val="00EB1FAF"/>
    <w:rsid w:val="00EB36F3"/>
    <w:rsid w:val="00EB4324"/>
    <w:rsid w:val="00EB4808"/>
    <w:rsid w:val="00EB5CEA"/>
    <w:rsid w:val="00EB5F20"/>
    <w:rsid w:val="00EB601C"/>
    <w:rsid w:val="00EB6B41"/>
    <w:rsid w:val="00EB75F3"/>
    <w:rsid w:val="00EB7739"/>
    <w:rsid w:val="00EC18CD"/>
    <w:rsid w:val="00EC1910"/>
    <w:rsid w:val="00EC1B91"/>
    <w:rsid w:val="00EC1D1E"/>
    <w:rsid w:val="00EC201F"/>
    <w:rsid w:val="00EC20B6"/>
    <w:rsid w:val="00EC2AA6"/>
    <w:rsid w:val="00EC40E3"/>
    <w:rsid w:val="00EC465B"/>
    <w:rsid w:val="00EC4AD6"/>
    <w:rsid w:val="00EC4C0B"/>
    <w:rsid w:val="00EC4EDB"/>
    <w:rsid w:val="00EC4EE0"/>
    <w:rsid w:val="00EC542F"/>
    <w:rsid w:val="00EC589C"/>
    <w:rsid w:val="00EC5A04"/>
    <w:rsid w:val="00EC6359"/>
    <w:rsid w:val="00EC69B8"/>
    <w:rsid w:val="00EC7A0A"/>
    <w:rsid w:val="00EC7D8F"/>
    <w:rsid w:val="00EC7E1A"/>
    <w:rsid w:val="00ED08E9"/>
    <w:rsid w:val="00ED09F7"/>
    <w:rsid w:val="00ED0F55"/>
    <w:rsid w:val="00ED19D2"/>
    <w:rsid w:val="00ED21F8"/>
    <w:rsid w:val="00ED2B31"/>
    <w:rsid w:val="00ED3105"/>
    <w:rsid w:val="00ED3B84"/>
    <w:rsid w:val="00ED4C8C"/>
    <w:rsid w:val="00ED4F89"/>
    <w:rsid w:val="00ED5032"/>
    <w:rsid w:val="00ED5151"/>
    <w:rsid w:val="00ED5270"/>
    <w:rsid w:val="00ED69AD"/>
    <w:rsid w:val="00ED7160"/>
    <w:rsid w:val="00ED7506"/>
    <w:rsid w:val="00ED7856"/>
    <w:rsid w:val="00ED792B"/>
    <w:rsid w:val="00ED7A73"/>
    <w:rsid w:val="00ED7DC2"/>
    <w:rsid w:val="00EE0540"/>
    <w:rsid w:val="00EE18C4"/>
    <w:rsid w:val="00EE1FFA"/>
    <w:rsid w:val="00EE3FBD"/>
    <w:rsid w:val="00EE4454"/>
    <w:rsid w:val="00EE5769"/>
    <w:rsid w:val="00EE5A97"/>
    <w:rsid w:val="00EE5CA6"/>
    <w:rsid w:val="00EE634C"/>
    <w:rsid w:val="00EE6916"/>
    <w:rsid w:val="00EE6FFD"/>
    <w:rsid w:val="00EF0744"/>
    <w:rsid w:val="00EF1335"/>
    <w:rsid w:val="00EF1557"/>
    <w:rsid w:val="00EF3EEC"/>
    <w:rsid w:val="00EF4AE0"/>
    <w:rsid w:val="00EF4FCF"/>
    <w:rsid w:val="00EF664A"/>
    <w:rsid w:val="00EF6FA1"/>
    <w:rsid w:val="00EF7E20"/>
    <w:rsid w:val="00F0047C"/>
    <w:rsid w:val="00F004B9"/>
    <w:rsid w:val="00F009F9"/>
    <w:rsid w:val="00F00C83"/>
    <w:rsid w:val="00F012FF"/>
    <w:rsid w:val="00F01671"/>
    <w:rsid w:val="00F01865"/>
    <w:rsid w:val="00F01A21"/>
    <w:rsid w:val="00F028FA"/>
    <w:rsid w:val="00F044A6"/>
    <w:rsid w:val="00F046E9"/>
    <w:rsid w:val="00F04831"/>
    <w:rsid w:val="00F04C4B"/>
    <w:rsid w:val="00F04DEF"/>
    <w:rsid w:val="00F05EC4"/>
    <w:rsid w:val="00F07202"/>
    <w:rsid w:val="00F113D2"/>
    <w:rsid w:val="00F11CC4"/>
    <w:rsid w:val="00F12010"/>
    <w:rsid w:val="00F12695"/>
    <w:rsid w:val="00F12783"/>
    <w:rsid w:val="00F129C1"/>
    <w:rsid w:val="00F12CD9"/>
    <w:rsid w:val="00F12DA8"/>
    <w:rsid w:val="00F1322B"/>
    <w:rsid w:val="00F13699"/>
    <w:rsid w:val="00F13F39"/>
    <w:rsid w:val="00F143C7"/>
    <w:rsid w:val="00F15FE8"/>
    <w:rsid w:val="00F16AB3"/>
    <w:rsid w:val="00F1733B"/>
    <w:rsid w:val="00F17579"/>
    <w:rsid w:val="00F21012"/>
    <w:rsid w:val="00F21357"/>
    <w:rsid w:val="00F21A65"/>
    <w:rsid w:val="00F21ACE"/>
    <w:rsid w:val="00F21FEA"/>
    <w:rsid w:val="00F237EC"/>
    <w:rsid w:val="00F246A9"/>
    <w:rsid w:val="00F24F91"/>
    <w:rsid w:val="00F25628"/>
    <w:rsid w:val="00F259FD"/>
    <w:rsid w:val="00F25BEF"/>
    <w:rsid w:val="00F2606C"/>
    <w:rsid w:val="00F2622B"/>
    <w:rsid w:val="00F26E34"/>
    <w:rsid w:val="00F270BA"/>
    <w:rsid w:val="00F27870"/>
    <w:rsid w:val="00F2798A"/>
    <w:rsid w:val="00F27B11"/>
    <w:rsid w:val="00F3058F"/>
    <w:rsid w:val="00F308AF"/>
    <w:rsid w:val="00F30C9A"/>
    <w:rsid w:val="00F30CE3"/>
    <w:rsid w:val="00F3102C"/>
    <w:rsid w:val="00F31313"/>
    <w:rsid w:val="00F31327"/>
    <w:rsid w:val="00F32911"/>
    <w:rsid w:val="00F3307A"/>
    <w:rsid w:val="00F33398"/>
    <w:rsid w:val="00F33538"/>
    <w:rsid w:val="00F337F8"/>
    <w:rsid w:val="00F33B26"/>
    <w:rsid w:val="00F3464D"/>
    <w:rsid w:val="00F34721"/>
    <w:rsid w:val="00F34AA7"/>
    <w:rsid w:val="00F35827"/>
    <w:rsid w:val="00F35F32"/>
    <w:rsid w:val="00F36774"/>
    <w:rsid w:val="00F4027C"/>
    <w:rsid w:val="00F403B6"/>
    <w:rsid w:val="00F405D4"/>
    <w:rsid w:val="00F40AA9"/>
    <w:rsid w:val="00F40C50"/>
    <w:rsid w:val="00F4100B"/>
    <w:rsid w:val="00F41A9B"/>
    <w:rsid w:val="00F425BB"/>
    <w:rsid w:val="00F425D1"/>
    <w:rsid w:val="00F42708"/>
    <w:rsid w:val="00F42CA3"/>
    <w:rsid w:val="00F4307A"/>
    <w:rsid w:val="00F434CD"/>
    <w:rsid w:val="00F43976"/>
    <w:rsid w:val="00F43D26"/>
    <w:rsid w:val="00F44899"/>
    <w:rsid w:val="00F452DA"/>
    <w:rsid w:val="00F45C60"/>
    <w:rsid w:val="00F46297"/>
    <w:rsid w:val="00F46B8B"/>
    <w:rsid w:val="00F47660"/>
    <w:rsid w:val="00F47E06"/>
    <w:rsid w:val="00F5033F"/>
    <w:rsid w:val="00F505FA"/>
    <w:rsid w:val="00F507DB"/>
    <w:rsid w:val="00F510B0"/>
    <w:rsid w:val="00F51DE2"/>
    <w:rsid w:val="00F5236F"/>
    <w:rsid w:val="00F5285A"/>
    <w:rsid w:val="00F52C7A"/>
    <w:rsid w:val="00F53E71"/>
    <w:rsid w:val="00F544AB"/>
    <w:rsid w:val="00F5545B"/>
    <w:rsid w:val="00F55935"/>
    <w:rsid w:val="00F55F80"/>
    <w:rsid w:val="00F55FF2"/>
    <w:rsid w:val="00F55FF5"/>
    <w:rsid w:val="00F5653F"/>
    <w:rsid w:val="00F56667"/>
    <w:rsid w:val="00F56812"/>
    <w:rsid w:val="00F56A1B"/>
    <w:rsid w:val="00F56E38"/>
    <w:rsid w:val="00F57904"/>
    <w:rsid w:val="00F57CB2"/>
    <w:rsid w:val="00F60198"/>
    <w:rsid w:val="00F60316"/>
    <w:rsid w:val="00F6079F"/>
    <w:rsid w:val="00F62D4E"/>
    <w:rsid w:val="00F633E5"/>
    <w:rsid w:val="00F637E1"/>
    <w:rsid w:val="00F63CC5"/>
    <w:rsid w:val="00F63ED3"/>
    <w:rsid w:val="00F64EA5"/>
    <w:rsid w:val="00F6526D"/>
    <w:rsid w:val="00F65480"/>
    <w:rsid w:val="00F6628A"/>
    <w:rsid w:val="00F66A3D"/>
    <w:rsid w:val="00F66B71"/>
    <w:rsid w:val="00F66DF3"/>
    <w:rsid w:val="00F67807"/>
    <w:rsid w:val="00F67AB2"/>
    <w:rsid w:val="00F70774"/>
    <w:rsid w:val="00F70BBA"/>
    <w:rsid w:val="00F714F3"/>
    <w:rsid w:val="00F71BA0"/>
    <w:rsid w:val="00F73BD2"/>
    <w:rsid w:val="00F73D21"/>
    <w:rsid w:val="00F74ED0"/>
    <w:rsid w:val="00F754A5"/>
    <w:rsid w:val="00F759D4"/>
    <w:rsid w:val="00F75A4F"/>
    <w:rsid w:val="00F75B44"/>
    <w:rsid w:val="00F76D43"/>
    <w:rsid w:val="00F80FB0"/>
    <w:rsid w:val="00F8216F"/>
    <w:rsid w:val="00F823CC"/>
    <w:rsid w:val="00F82674"/>
    <w:rsid w:val="00F83593"/>
    <w:rsid w:val="00F837F7"/>
    <w:rsid w:val="00F83B63"/>
    <w:rsid w:val="00F84367"/>
    <w:rsid w:val="00F8463F"/>
    <w:rsid w:val="00F84ECF"/>
    <w:rsid w:val="00F854ED"/>
    <w:rsid w:val="00F85E0D"/>
    <w:rsid w:val="00F86A3C"/>
    <w:rsid w:val="00F86CA9"/>
    <w:rsid w:val="00F87193"/>
    <w:rsid w:val="00F8741A"/>
    <w:rsid w:val="00F90E30"/>
    <w:rsid w:val="00F91790"/>
    <w:rsid w:val="00F917E4"/>
    <w:rsid w:val="00F91B00"/>
    <w:rsid w:val="00F91E83"/>
    <w:rsid w:val="00F92423"/>
    <w:rsid w:val="00F93538"/>
    <w:rsid w:val="00F93546"/>
    <w:rsid w:val="00F9354A"/>
    <w:rsid w:val="00F941AE"/>
    <w:rsid w:val="00F9424D"/>
    <w:rsid w:val="00F94D96"/>
    <w:rsid w:val="00F94DFC"/>
    <w:rsid w:val="00F95296"/>
    <w:rsid w:val="00F95825"/>
    <w:rsid w:val="00F95BCB"/>
    <w:rsid w:val="00F96536"/>
    <w:rsid w:val="00F968F1"/>
    <w:rsid w:val="00F96BAD"/>
    <w:rsid w:val="00F97C0F"/>
    <w:rsid w:val="00FA1549"/>
    <w:rsid w:val="00FA219D"/>
    <w:rsid w:val="00FA2477"/>
    <w:rsid w:val="00FA34B5"/>
    <w:rsid w:val="00FA365F"/>
    <w:rsid w:val="00FA4C19"/>
    <w:rsid w:val="00FA4FD2"/>
    <w:rsid w:val="00FA519F"/>
    <w:rsid w:val="00FA5F41"/>
    <w:rsid w:val="00FA6091"/>
    <w:rsid w:val="00FA726C"/>
    <w:rsid w:val="00FA72AA"/>
    <w:rsid w:val="00FA78C9"/>
    <w:rsid w:val="00FB0158"/>
    <w:rsid w:val="00FB05E1"/>
    <w:rsid w:val="00FB06CF"/>
    <w:rsid w:val="00FB16BC"/>
    <w:rsid w:val="00FB1DF3"/>
    <w:rsid w:val="00FB1F7D"/>
    <w:rsid w:val="00FB25A0"/>
    <w:rsid w:val="00FB27DF"/>
    <w:rsid w:val="00FB2AC3"/>
    <w:rsid w:val="00FB2B68"/>
    <w:rsid w:val="00FB2D7C"/>
    <w:rsid w:val="00FB3398"/>
    <w:rsid w:val="00FB35ED"/>
    <w:rsid w:val="00FB3772"/>
    <w:rsid w:val="00FB398E"/>
    <w:rsid w:val="00FB3DB0"/>
    <w:rsid w:val="00FB3F99"/>
    <w:rsid w:val="00FB4F37"/>
    <w:rsid w:val="00FB679C"/>
    <w:rsid w:val="00FB6E68"/>
    <w:rsid w:val="00FB71ED"/>
    <w:rsid w:val="00FB7994"/>
    <w:rsid w:val="00FB79F1"/>
    <w:rsid w:val="00FB7E5A"/>
    <w:rsid w:val="00FC0D52"/>
    <w:rsid w:val="00FC2931"/>
    <w:rsid w:val="00FC4736"/>
    <w:rsid w:val="00FC5119"/>
    <w:rsid w:val="00FC51EE"/>
    <w:rsid w:val="00FC5E0B"/>
    <w:rsid w:val="00FC620F"/>
    <w:rsid w:val="00FC6E54"/>
    <w:rsid w:val="00FC7D0A"/>
    <w:rsid w:val="00FD016A"/>
    <w:rsid w:val="00FD037F"/>
    <w:rsid w:val="00FD0FC2"/>
    <w:rsid w:val="00FD1379"/>
    <w:rsid w:val="00FD26BA"/>
    <w:rsid w:val="00FD29B7"/>
    <w:rsid w:val="00FD318C"/>
    <w:rsid w:val="00FD33A2"/>
    <w:rsid w:val="00FD363F"/>
    <w:rsid w:val="00FD36B8"/>
    <w:rsid w:val="00FD43CD"/>
    <w:rsid w:val="00FD6206"/>
    <w:rsid w:val="00FD67C5"/>
    <w:rsid w:val="00FD6819"/>
    <w:rsid w:val="00FD681E"/>
    <w:rsid w:val="00FD73DA"/>
    <w:rsid w:val="00FE09E7"/>
    <w:rsid w:val="00FE0F29"/>
    <w:rsid w:val="00FE2161"/>
    <w:rsid w:val="00FE45BB"/>
    <w:rsid w:val="00FE509E"/>
    <w:rsid w:val="00FE5248"/>
    <w:rsid w:val="00FE530A"/>
    <w:rsid w:val="00FE58B6"/>
    <w:rsid w:val="00FE682C"/>
    <w:rsid w:val="00FE7430"/>
    <w:rsid w:val="00FE7695"/>
    <w:rsid w:val="00FE7A89"/>
    <w:rsid w:val="00FF027B"/>
    <w:rsid w:val="00FF02CB"/>
    <w:rsid w:val="00FF0471"/>
    <w:rsid w:val="00FF0771"/>
    <w:rsid w:val="00FF0AAD"/>
    <w:rsid w:val="00FF1C3B"/>
    <w:rsid w:val="00FF25CD"/>
    <w:rsid w:val="00FF267A"/>
    <w:rsid w:val="00FF29CE"/>
    <w:rsid w:val="00FF2E7C"/>
    <w:rsid w:val="00FF33F4"/>
    <w:rsid w:val="00FF37C9"/>
    <w:rsid w:val="00FF3FC8"/>
    <w:rsid w:val="00FF4E22"/>
    <w:rsid w:val="00FF67F8"/>
    <w:rsid w:val="00FF786D"/>
    <w:rsid w:val="00FF79F0"/>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4939"/>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rsid w:val="00707C19"/>
    <w:pPr>
      <w:widowControl/>
      <w:overflowPunct w:val="0"/>
      <w:autoSpaceDE w:val="0"/>
      <w:autoSpaceDN w:val="0"/>
      <w:adjustRightInd w:val="0"/>
      <w:spacing w:before="120" w:after="240" w:line="240" w:lineRule="auto"/>
      <w:ind w:left="0" w:firstLine="0"/>
      <w:jc w:val="left"/>
      <w:textAlignment w:val="baseline"/>
      <w:outlineLvl w:val="1"/>
    </w:pPr>
    <w:rPr>
      <w:rFonts w:ascii="Arial" w:eastAsia="宋体" w:hAnsi="Arial"/>
      <w:b w:val="0"/>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aliases w:val="Table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sid w:val="00707C19"/>
    <w:rPr>
      <w:rFonts w:ascii="Arial" w:hAnsi="Arial"/>
      <w:bCs/>
      <w:sz w:val="24"/>
      <w:szCs w:val="32"/>
      <w:lang w:val="en-GB"/>
    </w:rPr>
  </w:style>
  <w:style w:type="character" w:customStyle="1" w:styleId="30">
    <w:name w:val="标题 3 字符"/>
    <w:basedOn w:val="a0"/>
    <w:link w:val="3"/>
    <w:qFormat/>
    <w:rPr>
      <w:rFonts w:ascii="Arial" w:hAnsi="Arial"/>
      <w:b/>
      <w:bCs/>
      <w:sz w:val="24"/>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Date"/>
    <w:basedOn w:val="a"/>
    <w:next w:val="a"/>
    <w:link w:val="affffffff3"/>
    <w:semiHidden/>
    <w:unhideWhenUsed/>
    <w:rsid w:val="00C06FF6"/>
    <w:pPr>
      <w:ind w:leftChars="2500" w:left="100"/>
    </w:pPr>
  </w:style>
  <w:style w:type="character" w:customStyle="1" w:styleId="affffffff3">
    <w:name w:val="日期 字符"/>
    <w:basedOn w:val="a0"/>
    <w:link w:val="affffffff2"/>
    <w:semiHidden/>
    <w:rsid w:val="00C06FF6"/>
    <w:rPr>
      <w:rFonts w:eastAsiaTheme="minorEastAsia"/>
      <w:kern w:val="2"/>
      <w:szCs w:val="24"/>
    </w:rPr>
  </w:style>
  <w:style w:type="paragraph" w:customStyle="1" w:styleId="15">
    <w:name w:val="正文1"/>
    <w:rsid w:val="00DE0E11"/>
    <w:pPr>
      <w:jc w:val="both"/>
    </w:pPr>
    <w:rPr>
      <w:kern w:val="2"/>
      <w:sz w:val="21"/>
      <w:szCs w:val="21"/>
    </w:rPr>
  </w:style>
  <w:style w:type="paragraph" w:styleId="affffffff4">
    <w:name w:val="Revision"/>
    <w:hidden/>
    <w:uiPriority w:val="99"/>
    <w:semiHidden/>
    <w:rsid w:val="004F04BC"/>
    <w:rPr>
      <w:rFonts w:eastAsiaTheme="minorEastAsia"/>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138962878">
      <w:bodyDiv w:val="1"/>
      <w:marLeft w:val="0"/>
      <w:marRight w:val="0"/>
      <w:marTop w:val="0"/>
      <w:marBottom w:val="0"/>
      <w:divBdr>
        <w:top w:val="none" w:sz="0" w:space="0" w:color="auto"/>
        <w:left w:val="none" w:sz="0" w:space="0" w:color="auto"/>
        <w:bottom w:val="none" w:sz="0" w:space="0" w:color="auto"/>
        <w:right w:val="none" w:sz="0" w:space="0" w:color="auto"/>
      </w:divBdr>
      <w:divsChild>
        <w:div w:id="183441055">
          <w:marLeft w:val="1267"/>
          <w:marRight w:val="0"/>
          <w:marTop w:val="0"/>
          <w:marBottom w:val="0"/>
          <w:divBdr>
            <w:top w:val="none" w:sz="0" w:space="0" w:color="auto"/>
            <w:left w:val="none" w:sz="0" w:space="0" w:color="auto"/>
            <w:bottom w:val="none" w:sz="0" w:space="0" w:color="auto"/>
            <w:right w:val="none" w:sz="0" w:space="0" w:color="auto"/>
          </w:divBdr>
        </w:div>
        <w:div w:id="2062777758">
          <w:marLeft w:val="1267"/>
          <w:marRight w:val="0"/>
          <w:marTop w:val="0"/>
          <w:marBottom w:val="0"/>
          <w:divBdr>
            <w:top w:val="none" w:sz="0" w:space="0" w:color="auto"/>
            <w:left w:val="none" w:sz="0" w:space="0" w:color="auto"/>
            <w:bottom w:val="none" w:sz="0" w:space="0" w:color="auto"/>
            <w:right w:val="none" w:sz="0" w:space="0" w:color="auto"/>
          </w:divBdr>
        </w:div>
        <w:div w:id="184170820">
          <w:marLeft w:val="1267"/>
          <w:marRight w:val="0"/>
          <w:marTop w:val="0"/>
          <w:marBottom w:val="0"/>
          <w:divBdr>
            <w:top w:val="none" w:sz="0" w:space="0" w:color="auto"/>
            <w:left w:val="none" w:sz="0" w:space="0" w:color="auto"/>
            <w:bottom w:val="none" w:sz="0" w:space="0" w:color="auto"/>
            <w:right w:val="none" w:sz="0" w:space="0" w:color="auto"/>
          </w:divBdr>
        </w:div>
        <w:div w:id="809177040">
          <w:marLeft w:val="1267"/>
          <w:marRight w:val="0"/>
          <w:marTop w:val="0"/>
          <w:marBottom w:val="0"/>
          <w:divBdr>
            <w:top w:val="none" w:sz="0" w:space="0" w:color="auto"/>
            <w:left w:val="none" w:sz="0" w:space="0" w:color="auto"/>
            <w:bottom w:val="none" w:sz="0" w:space="0" w:color="auto"/>
            <w:right w:val="none" w:sz="0" w:space="0" w:color="auto"/>
          </w:divBdr>
        </w:div>
        <w:div w:id="29183207">
          <w:marLeft w:val="1267"/>
          <w:marRight w:val="0"/>
          <w:marTop w:val="0"/>
          <w:marBottom w:val="0"/>
          <w:divBdr>
            <w:top w:val="none" w:sz="0" w:space="0" w:color="auto"/>
            <w:left w:val="none" w:sz="0" w:space="0" w:color="auto"/>
            <w:bottom w:val="none" w:sz="0" w:space="0" w:color="auto"/>
            <w:right w:val="none" w:sz="0" w:space="0" w:color="auto"/>
          </w:divBdr>
        </w:div>
        <w:div w:id="87967330">
          <w:marLeft w:val="1267"/>
          <w:marRight w:val="0"/>
          <w:marTop w:val="0"/>
          <w:marBottom w:val="0"/>
          <w:divBdr>
            <w:top w:val="none" w:sz="0" w:space="0" w:color="auto"/>
            <w:left w:val="none" w:sz="0" w:space="0" w:color="auto"/>
            <w:bottom w:val="none" w:sz="0" w:space="0" w:color="auto"/>
            <w:right w:val="none" w:sz="0" w:space="0" w:color="auto"/>
          </w:divBdr>
        </w:div>
        <w:div w:id="1574004793">
          <w:marLeft w:val="547"/>
          <w:marRight w:val="0"/>
          <w:marTop w:val="0"/>
          <w:marBottom w:val="0"/>
          <w:divBdr>
            <w:top w:val="none" w:sz="0" w:space="0" w:color="auto"/>
            <w:left w:val="none" w:sz="0" w:space="0" w:color="auto"/>
            <w:bottom w:val="none" w:sz="0" w:space="0" w:color="auto"/>
            <w:right w:val="none" w:sz="0" w:space="0" w:color="auto"/>
          </w:divBdr>
        </w:div>
      </w:divsChild>
    </w:div>
    <w:div w:id="147869081">
      <w:bodyDiv w:val="1"/>
      <w:marLeft w:val="0"/>
      <w:marRight w:val="0"/>
      <w:marTop w:val="0"/>
      <w:marBottom w:val="0"/>
      <w:divBdr>
        <w:top w:val="none" w:sz="0" w:space="0" w:color="auto"/>
        <w:left w:val="none" w:sz="0" w:space="0" w:color="auto"/>
        <w:bottom w:val="none" w:sz="0" w:space="0" w:color="auto"/>
        <w:right w:val="none" w:sz="0" w:space="0" w:color="auto"/>
      </w:divBdr>
    </w:div>
    <w:div w:id="180703775">
      <w:bodyDiv w:val="1"/>
      <w:marLeft w:val="0"/>
      <w:marRight w:val="0"/>
      <w:marTop w:val="0"/>
      <w:marBottom w:val="0"/>
      <w:divBdr>
        <w:top w:val="none" w:sz="0" w:space="0" w:color="auto"/>
        <w:left w:val="none" w:sz="0" w:space="0" w:color="auto"/>
        <w:bottom w:val="none" w:sz="0" w:space="0" w:color="auto"/>
        <w:right w:val="none" w:sz="0" w:space="0" w:color="auto"/>
      </w:divBdr>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290550004">
      <w:bodyDiv w:val="1"/>
      <w:marLeft w:val="0"/>
      <w:marRight w:val="0"/>
      <w:marTop w:val="0"/>
      <w:marBottom w:val="0"/>
      <w:divBdr>
        <w:top w:val="none" w:sz="0" w:space="0" w:color="auto"/>
        <w:left w:val="none" w:sz="0" w:space="0" w:color="auto"/>
        <w:bottom w:val="none" w:sz="0" w:space="0" w:color="auto"/>
        <w:right w:val="none" w:sz="0" w:space="0" w:color="auto"/>
      </w:divBdr>
    </w:div>
    <w:div w:id="345866147">
      <w:bodyDiv w:val="1"/>
      <w:marLeft w:val="0"/>
      <w:marRight w:val="0"/>
      <w:marTop w:val="0"/>
      <w:marBottom w:val="0"/>
      <w:divBdr>
        <w:top w:val="none" w:sz="0" w:space="0" w:color="auto"/>
        <w:left w:val="none" w:sz="0" w:space="0" w:color="auto"/>
        <w:bottom w:val="none" w:sz="0" w:space="0" w:color="auto"/>
        <w:right w:val="none" w:sz="0" w:space="0" w:color="auto"/>
      </w:divBdr>
    </w:div>
    <w:div w:id="366443574">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389118672">
      <w:bodyDiv w:val="1"/>
      <w:marLeft w:val="0"/>
      <w:marRight w:val="0"/>
      <w:marTop w:val="0"/>
      <w:marBottom w:val="0"/>
      <w:divBdr>
        <w:top w:val="none" w:sz="0" w:space="0" w:color="auto"/>
        <w:left w:val="none" w:sz="0" w:space="0" w:color="auto"/>
        <w:bottom w:val="none" w:sz="0" w:space="0" w:color="auto"/>
        <w:right w:val="none" w:sz="0" w:space="0" w:color="auto"/>
      </w:divBdr>
    </w:div>
    <w:div w:id="402604544">
      <w:bodyDiv w:val="1"/>
      <w:marLeft w:val="0"/>
      <w:marRight w:val="0"/>
      <w:marTop w:val="0"/>
      <w:marBottom w:val="0"/>
      <w:divBdr>
        <w:top w:val="none" w:sz="0" w:space="0" w:color="auto"/>
        <w:left w:val="none" w:sz="0" w:space="0" w:color="auto"/>
        <w:bottom w:val="none" w:sz="0" w:space="0" w:color="auto"/>
        <w:right w:val="none" w:sz="0" w:space="0" w:color="auto"/>
      </w:divBdr>
      <w:divsChild>
        <w:div w:id="15468068">
          <w:marLeft w:val="547"/>
          <w:marRight w:val="0"/>
          <w:marTop w:val="50"/>
          <w:marBottom w:val="0"/>
          <w:divBdr>
            <w:top w:val="none" w:sz="0" w:space="0" w:color="auto"/>
            <w:left w:val="none" w:sz="0" w:space="0" w:color="auto"/>
            <w:bottom w:val="none" w:sz="0" w:space="0" w:color="auto"/>
            <w:right w:val="none" w:sz="0" w:space="0" w:color="auto"/>
          </w:divBdr>
        </w:div>
      </w:divsChild>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69927215">
      <w:bodyDiv w:val="1"/>
      <w:marLeft w:val="0"/>
      <w:marRight w:val="0"/>
      <w:marTop w:val="0"/>
      <w:marBottom w:val="0"/>
      <w:divBdr>
        <w:top w:val="none" w:sz="0" w:space="0" w:color="auto"/>
        <w:left w:val="none" w:sz="0" w:space="0" w:color="auto"/>
        <w:bottom w:val="none" w:sz="0" w:space="0" w:color="auto"/>
        <w:right w:val="none" w:sz="0" w:space="0" w:color="auto"/>
      </w:divBdr>
      <w:divsChild>
        <w:div w:id="1781949818">
          <w:marLeft w:val="547"/>
          <w:marRight w:val="0"/>
          <w:marTop w:val="60"/>
          <w:marBottom w:val="0"/>
          <w:divBdr>
            <w:top w:val="none" w:sz="0" w:space="0" w:color="auto"/>
            <w:left w:val="none" w:sz="0" w:space="0" w:color="auto"/>
            <w:bottom w:val="none" w:sz="0" w:space="0" w:color="auto"/>
            <w:right w:val="none" w:sz="0" w:space="0" w:color="auto"/>
          </w:divBdr>
        </w:div>
      </w:divsChild>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696278092">
      <w:bodyDiv w:val="1"/>
      <w:marLeft w:val="0"/>
      <w:marRight w:val="0"/>
      <w:marTop w:val="0"/>
      <w:marBottom w:val="0"/>
      <w:divBdr>
        <w:top w:val="none" w:sz="0" w:space="0" w:color="auto"/>
        <w:left w:val="none" w:sz="0" w:space="0" w:color="auto"/>
        <w:bottom w:val="none" w:sz="0" w:space="0" w:color="auto"/>
        <w:right w:val="none" w:sz="0" w:space="0" w:color="auto"/>
      </w:divBdr>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790784318">
      <w:bodyDiv w:val="1"/>
      <w:marLeft w:val="0"/>
      <w:marRight w:val="0"/>
      <w:marTop w:val="0"/>
      <w:marBottom w:val="0"/>
      <w:divBdr>
        <w:top w:val="none" w:sz="0" w:space="0" w:color="auto"/>
        <w:left w:val="none" w:sz="0" w:space="0" w:color="auto"/>
        <w:bottom w:val="none" w:sz="0" w:space="0" w:color="auto"/>
        <w:right w:val="none" w:sz="0" w:space="0" w:color="auto"/>
      </w:divBdr>
      <w:divsChild>
        <w:div w:id="84495306">
          <w:marLeft w:val="547"/>
          <w:marRight w:val="0"/>
          <w:marTop w:val="60"/>
          <w:marBottom w:val="0"/>
          <w:divBdr>
            <w:top w:val="none" w:sz="0" w:space="0" w:color="auto"/>
            <w:left w:val="none" w:sz="0" w:space="0" w:color="auto"/>
            <w:bottom w:val="none" w:sz="0" w:space="0" w:color="auto"/>
            <w:right w:val="none" w:sz="0" w:space="0" w:color="auto"/>
          </w:divBdr>
        </w:div>
      </w:divsChild>
    </w:div>
    <w:div w:id="806120969">
      <w:bodyDiv w:val="1"/>
      <w:marLeft w:val="0"/>
      <w:marRight w:val="0"/>
      <w:marTop w:val="0"/>
      <w:marBottom w:val="0"/>
      <w:divBdr>
        <w:top w:val="none" w:sz="0" w:space="0" w:color="auto"/>
        <w:left w:val="none" w:sz="0" w:space="0" w:color="auto"/>
        <w:bottom w:val="none" w:sz="0" w:space="0" w:color="auto"/>
        <w:right w:val="none" w:sz="0" w:space="0" w:color="auto"/>
      </w:divBdr>
    </w:div>
    <w:div w:id="847401387">
      <w:bodyDiv w:val="1"/>
      <w:marLeft w:val="0"/>
      <w:marRight w:val="0"/>
      <w:marTop w:val="0"/>
      <w:marBottom w:val="0"/>
      <w:divBdr>
        <w:top w:val="none" w:sz="0" w:space="0" w:color="auto"/>
        <w:left w:val="none" w:sz="0" w:space="0" w:color="auto"/>
        <w:bottom w:val="none" w:sz="0" w:space="0" w:color="auto"/>
        <w:right w:val="none" w:sz="0" w:space="0" w:color="auto"/>
      </w:divBdr>
      <w:divsChild>
        <w:div w:id="1456173020">
          <w:marLeft w:val="1267"/>
          <w:marRight w:val="0"/>
          <w:marTop w:val="0"/>
          <w:marBottom w:val="0"/>
          <w:divBdr>
            <w:top w:val="none" w:sz="0" w:space="0" w:color="auto"/>
            <w:left w:val="none" w:sz="0" w:space="0" w:color="auto"/>
            <w:bottom w:val="none" w:sz="0" w:space="0" w:color="auto"/>
            <w:right w:val="none" w:sz="0" w:space="0" w:color="auto"/>
          </w:divBdr>
        </w:div>
        <w:div w:id="393355633">
          <w:marLeft w:val="1267"/>
          <w:marRight w:val="0"/>
          <w:marTop w:val="0"/>
          <w:marBottom w:val="0"/>
          <w:divBdr>
            <w:top w:val="none" w:sz="0" w:space="0" w:color="auto"/>
            <w:left w:val="none" w:sz="0" w:space="0" w:color="auto"/>
            <w:bottom w:val="none" w:sz="0" w:space="0" w:color="auto"/>
            <w:right w:val="none" w:sz="0" w:space="0" w:color="auto"/>
          </w:divBdr>
        </w:div>
        <w:div w:id="1788810499">
          <w:marLeft w:val="1267"/>
          <w:marRight w:val="0"/>
          <w:marTop w:val="0"/>
          <w:marBottom w:val="0"/>
          <w:divBdr>
            <w:top w:val="none" w:sz="0" w:space="0" w:color="auto"/>
            <w:left w:val="none" w:sz="0" w:space="0" w:color="auto"/>
            <w:bottom w:val="none" w:sz="0" w:space="0" w:color="auto"/>
            <w:right w:val="none" w:sz="0" w:space="0" w:color="auto"/>
          </w:divBdr>
        </w:div>
        <w:div w:id="1213735703">
          <w:marLeft w:val="1267"/>
          <w:marRight w:val="0"/>
          <w:marTop w:val="0"/>
          <w:marBottom w:val="0"/>
          <w:divBdr>
            <w:top w:val="none" w:sz="0" w:space="0" w:color="auto"/>
            <w:left w:val="none" w:sz="0" w:space="0" w:color="auto"/>
            <w:bottom w:val="none" w:sz="0" w:space="0" w:color="auto"/>
            <w:right w:val="none" w:sz="0" w:space="0" w:color="auto"/>
          </w:divBdr>
        </w:div>
        <w:div w:id="471561063">
          <w:marLeft w:val="1267"/>
          <w:marRight w:val="0"/>
          <w:marTop w:val="0"/>
          <w:marBottom w:val="0"/>
          <w:divBdr>
            <w:top w:val="none" w:sz="0" w:space="0" w:color="auto"/>
            <w:left w:val="none" w:sz="0" w:space="0" w:color="auto"/>
            <w:bottom w:val="none" w:sz="0" w:space="0" w:color="auto"/>
            <w:right w:val="none" w:sz="0" w:space="0" w:color="auto"/>
          </w:divBdr>
        </w:div>
        <w:div w:id="225187202">
          <w:marLeft w:val="1267"/>
          <w:marRight w:val="0"/>
          <w:marTop w:val="0"/>
          <w:marBottom w:val="0"/>
          <w:divBdr>
            <w:top w:val="none" w:sz="0" w:space="0" w:color="auto"/>
            <w:left w:val="none" w:sz="0" w:space="0" w:color="auto"/>
            <w:bottom w:val="none" w:sz="0" w:space="0" w:color="auto"/>
            <w:right w:val="none" w:sz="0" w:space="0" w:color="auto"/>
          </w:divBdr>
        </w:div>
        <w:div w:id="1073242220">
          <w:marLeft w:val="547"/>
          <w:marRight w:val="0"/>
          <w:marTop w:val="0"/>
          <w:marBottom w:val="0"/>
          <w:divBdr>
            <w:top w:val="none" w:sz="0" w:space="0" w:color="auto"/>
            <w:left w:val="none" w:sz="0" w:space="0" w:color="auto"/>
            <w:bottom w:val="none" w:sz="0" w:space="0" w:color="auto"/>
            <w:right w:val="none" w:sz="0" w:space="0" w:color="auto"/>
          </w:divBdr>
        </w:div>
      </w:divsChild>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890533053">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150908178">
      <w:bodyDiv w:val="1"/>
      <w:marLeft w:val="0"/>
      <w:marRight w:val="0"/>
      <w:marTop w:val="0"/>
      <w:marBottom w:val="0"/>
      <w:divBdr>
        <w:top w:val="none" w:sz="0" w:space="0" w:color="auto"/>
        <w:left w:val="none" w:sz="0" w:space="0" w:color="auto"/>
        <w:bottom w:val="none" w:sz="0" w:space="0" w:color="auto"/>
        <w:right w:val="none" w:sz="0" w:space="0" w:color="auto"/>
      </w:divBdr>
      <w:divsChild>
        <w:div w:id="32460144">
          <w:marLeft w:val="1267"/>
          <w:marRight w:val="0"/>
          <w:marTop w:val="0"/>
          <w:marBottom w:val="0"/>
          <w:divBdr>
            <w:top w:val="none" w:sz="0" w:space="0" w:color="auto"/>
            <w:left w:val="none" w:sz="0" w:space="0" w:color="auto"/>
            <w:bottom w:val="none" w:sz="0" w:space="0" w:color="auto"/>
            <w:right w:val="none" w:sz="0" w:space="0" w:color="auto"/>
          </w:divBdr>
        </w:div>
        <w:div w:id="400951857">
          <w:marLeft w:val="1267"/>
          <w:marRight w:val="0"/>
          <w:marTop w:val="0"/>
          <w:marBottom w:val="0"/>
          <w:divBdr>
            <w:top w:val="none" w:sz="0" w:space="0" w:color="auto"/>
            <w:left w:val="none" w:sz="0" w:space="0" w:color="auto"/>
            <w:bottom w:val="none" w:sz="0" w:space="0" w:color="auto"/>
            <w:right w:val="none" w:sz="0" w:space="0" w:color="auto"/>
          </w:divBdr>
        </w:div>
        <w:div w:id="2025159031">
          <w:marLeft w:val="1267"/>
          <w:marRight w:val="0"/>
          <w:marTop w:val="0"/>
          <w:marBottom w:val="0"/>
          <w:divBdr>
            <w:top w:val="none" w:sz="0" w:space="0" w:color="auto"/>
            <w:left w:val="none" w:sz="0" w:space="0" w:color="auto"/>
            <w:bottom w:val="none" w:sz="0" w:space="0" w:color="auto"/>
            <w:right w:val="none" w:sz="0" w:space="0" w:color="auto"/>
          </w:divBdr>
        </w:div>
        <w:div w:id="1805195313">
          <w:marLeft w:val="1267"/>
          <w:marRight w:val="0"/>
          <w:marTop w:val="0"/>
          <w:marBottom w:val="0"/>
          <w:divBdr>
            <w:top w:val="none" w:sz="0" w:space="0" w:color="auto"/>
            <w:left w:val="none" w:sz="0" w:space="0" w:color="auto"/>
            <w:bottom w:val="none" w:sz="0" w:space="0" w:color="auto"/>
            <w:right w:val="none" w:sz="0" w:space="0" w:color="auto"/>
          </w:divBdr>
        </w:div>
        <w:div w:id="1463959876">
          <w:marLeft w:val="1267"/>
          <w:marRight w:val="0"/>
          <w:marTop w:val="0"/>
          <w:marBottom w:val="0"/>
          <w:divBdr>
            <w:top w:val="none" w:sz="0" w:space="0" w:color="auto"/>
            <w:left w:val="none" w:sz="0" w:space="0" w:color="auto"/>
            <w:bottom w:val="none" w:sz="0" w:space="0" w:color="auto"/>
            <w:right w:val="none" w:sz="0" w:space="0" w:color="auto"/>
          </w:divBdr>
        </w:div>
        <w:div w:id="587425360">
          <w:marLeft w:val="1267"/>
          <w:marRight w:val="0"/>
          <w:marTop w:val="0"/>
          <w:marBottom w:val="0"/>
          <w:divBdr>
            <w:top w:val="none" w:sz="0" w:space="0" w:color="auto"/>
            <w:left w:val="none" w:sz="0" w:space="0" w:color="auto"/>
            <w:bottom w:val="none" w:sz="0" w:space="0" w:color="auto"/>
            <w:right w:val="none" w:sz="0" w:space="0" w:color="auto"/>
          </w:divBdr>
        </w:div>
        <w:div w:id="1189487003">
          <w:marLeft w:val="547"/>
          <w:marRight w:val="0"/>
          <w:marTop w:val="0"/>
          <w:marBottom w:val="0"/>
          <w:divBdr>
            <w:top w:val="none" w:sz="0" w:space="0" w:color="auto"/>
            <w:left w:val="none" w:sz="0" w:space="0" w:color="auto"/>
            <w:bottom w:val="none" w:sz="0" w:space="0" w:color="auto"/>
            <w:right w:val="none" w:sz="0" w:space="0" w:color="auto"/>
          </w:divBdr>
        </w:div>
      </w:divsChild>
    </w:div>
    <w:div w:id="1164902914">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426609631">
      <w:bodyDiv w:val="1"/>
      <w:marLeft w:val="0"/>
      <w:marRight w:val="0"/>
      <w:marTop w:val="0"/>
      <w:marBottom w:val="0"/>
      <w:divBdr>
        <w:top w:val="none" w:sz="0" w:space="0" w:color="auto"/>
        <w:left w:val="none" w:sz="0" w:space="0" w:color="auto"/>
        <w:bottom w:val="none" w:sz="0" w:space="0" w:color="auto"/>
        <w:right w:val="none" w:sz="0" w:space="0" w:color="auto"/>
      </w:divBdr>
      <w:divsChild>
        <w:div w:id="774863982">
          <w:marLeft w:val="1267"/>
          <w:marRight w:val="0"/>
          <w:marTop w:val="0"/>
          <w:marBottom w:val="0"/>
          <w:divBdr>
            <w:top w:val="none" w:sz="0" w:space="0" w:color="auto"/>
            <w:left w:val="none" w:sz="0" w:space="0" w:color="auto"/>
            <w:bottom w:val="none" w:sz="0" w:space="0" w:color="auto"/>
            <w:right w:val="none" w:sz="0" w:space="0" w:color="auto"/>
          </w:divBdr>
        </w:div>
        <w:div w:id="1497376472">
          <w:marLeft w:val="1267"/>
          <w:marRight w:val="0"/>
          <w:marTop w:val="0"/>
          <w:marBottom w:val="0"/>
          <w:divBdr>
            <w:top w:val="none" w:sz="0" w:space="0" w:color="auto"/>
            <w:left w:val="none" w:sz="0" w:space="0" w:color="auto"/>
            <w:bottom w:val="none" w:sz="0" w:space="0" w:color="auto"/>
            <w:right w:val="none" w:sz="0" w:space="0" w:color="auto"/>
          </w:divBdr>
        </w:div>
        <w:div w:id="1723753680">
          <w:marLeft w:val="1267"/>
          <w:marRight w:val="0"/>
          <w:marTop w:val="0"/>
          <w:marBottom w:val="0"/>
          <w:divBdr>
            <w:top w:val="none" w:sz="0" w:space="0" w:color="auto"/>
            <w:left w:val="none" w:sz="0" w:space="0" w:color="auto"/>
            <w:bottom w:val="none" w:sz="0" w:space="0" w:color="auto"/>
            <w:right w:val="none" w:sz="0" w:space="0" w:color="auto"/>
          </w:divBdr>
        </w:div>
        <w:div w:id="1307052314">
          <w:marLeft w:val="1267"/>
          <w:marRight w:val="0"/>
          <w:marTop w:val="0"/>
          <w:marBottom w:val="0"/>
          <w:divBdr>
            <w:top w:val="none" w:sz="0" w:space="0" w:color="auto"/>
            <w:left w:val="none" w:sz="0" w:space="0" w:color="auto"/>
            <w:bottom w:val="none" w:sz="0" w:space="0" w:color="auto"/>
            <w:right w:val="none" w:sz="0" w:space="0" w:color="auto"/>
          </w:divBdr>
        </w:div>
        <w:div w:id="2025084575">
          <w:marLeft w:val="1267"/>
          <w:marRight w:val="0"/>
          <w:marTop w:val="0"/>
          <w:marBottom w:val="0"/>
          <w:divBdr>
            <w:top w:val="none" w:sz="0" w:space="0" w:color="auto"/>
            <w:left w:val="none" w:sz="0" w:space="0" w:color="auto"/>
            <w:bottom w:val="none" w:sz="0" w:space="0" w:color="auto"/>
            <w:right w:val="none" w:sz="0" w:space="0" w:color="auto"/>
          </w:divBdr>
        </w:div>
        <w:div w:id="1967924714">
          <w:marLeft w:val="1267"/>
          <w:marRight w:val="0"/>
          <w:marTop w:val="0"/>
          <w:marBottom w:val="0"/>
          <w:divBdr>
            <w:top w:val="none" w:sz="0" w:space="0" w:color="auto"/>
            <w:left w:val="none" w:sz="0" w:space="0" w:color="auto"/>
            <w:bottom w:val="none" w:sz="0" w:space="0" w:color="auto"/>
            <w:right w:val="none" w:sz="0" w:space="0" w:color="auto"/>
          </w:divBdr>
        </w:div>
        <w:div w:id="1502626349">
          <w:marLeft w:val="547"/>
          <w:marRight w:val="0"/>
          <w:marTop w:val="0"/>
          <w:marBottom w:val="0"/>
          <w:divBdr>
            <w:top w:val="none" w:sz="0" w:space="0" w:color="auto"/>
            <w:left w:val="none" w:sz="0" w:space="0" w:color="auto"/>
            <w:bottom w:val="none" w:sz="0" w:space="0" w:color="auto"/>
            <w:right w:val="none" w:sz="0" w:space="0" w:color="auto"/>
          </w:divBdr>
        </w:div>
      </w:divsChild>
    </w:div>
    <w:div w:id="1550262577">
      <w:bodyDiv w:val="1"/>
      <w:marLeft w:val="0"/>
      <w:marRight w:val="0"/>
      <w:marTop w:val="0"/>
      <w:marBottom w:val="0"/>
      <w:divBdr>
        <w:top w:val="none" w:sz="0" w:space="0" w:color="auto"/>
        <w:left w:val="none" w:sz="0" w:space="0" w:color="auto"/>
        <w:bottom w:val="none" w:sz="0" w:space="0" w:color="auto"/>
        <w:right w:val="none" w:sz="0" w:space="0" w:color="auto"/>
      </w:divBdr>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724403837">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762682098">
      <w:bodyDiv w:val="1"/>
      <w:marLeft w:val="0"/>
      <w:marRight w:val="0"/>
      <w:marTop w:val="0"/>
      <w:marBottom w:val="0"/>
      <w:divBdr>
        <w:top w:val="none" w:sz="0" w:space="0" w:color="auto"/>
        <w:left w:val="none" w:sz="0" w:space="0" w:color="auto"/>
        <w:bottom w:val="none" w:sz="0" w:space="0" w:color="auto"/>
        <w:right w:val="none" w:sz="0" w:space="0" w:color="auto"/>
      </w:divBdr>
      <w:divsChild>
        <w:div w:id="1238055038">
          <w:marLeft w:val="547"/>
          <w:marRight w:val="0"/>
          <w:marTop w:val="0"/>
          <w:marBottom w:val="0"/>
          <w:divBdr>
            <w:top w:val="none" w:sz="0" w:space="0" w:color="auto"/>
            <w:left w:val="none" w:sz="0" w:space="0" w:color="auto"/>
            <w:bottom w:val="none" w:sz="0" w:space="0" w:color="auto"/>
            <w:right w:val="none" w:sz="0" w:space="0" w:color="auto"/>
          </w:divBdr>
        </w:div>
        <w:div w:id="1827092513">
          <w:marLeft w:val="1166"/>
          <w:marRight w:val="0"/>
          <w:marTop w:val="0"/>
          <w:marBottom w:val="0"/>
          <w:divBdr>
            <w:top w:val="none" w:sz="0" w:space="0" w:color="auto"/>
            <w:left w:val="none" w:sz="0" w:space="0" w:color="auto"/>
            <w:bottom w:val="none" w:sz="0" w:space="0" w:color="auto"/>
            <w:right w:val="none" w:sz="0" w:space="0" w:color="auto"/>
          </w:divBdr>
        </w:div>
      </w:divsChild>
    </w:div>
    <w:div w:id="1778869398">
      <w:bodyDiv w:val="1"/>
      <w:marLeft w:val="0"/>
      <w:marRight w:val="0"/>
      <w:marTop w:val="0"/>
      <w:marBottom w:val="0"/>
      <w:divBdr>
        <w:top w:val="none" w:sz="0" w:space="0" w:color="auto"/>
        <w:left w:val="none" w:sz="0" w:space="0" w:color="auto"/>
        <w:bottom w:val="none" w:sz="0" w:space="0" w:color="auto"/>
        <w:right w:val="none" w:sz="0" w:space="0" w:color="auto"/>
      </w:divBdr>
    </w:div>
    <w:div w:id="1828742261">
      <w:bodyDiv w:val="1"/>
      <w:marLeft w:val="0"/>
      <w:marRight w:val="0"/>
      <w:marTop w:val="0"/>
      <w:marBottom w:val="0"/>
      <w:divBdr>
        <w:top w:val="none" w:sz="0" w:space="0" w:color="auto"/>
        <w:left w:val="none" w:sz="0" w:space="0" w:color="auto"/>
        <w:bottom w:val="none" w:sz="0" w:space="0" w:color="auto"/>
        <w:right w:val="none" w:sz="0" w:space="0" w:color="auto"/>
      </w:divBdr>
    </w:div>
    <w:div w:id="1829327684">
      <w:bodyDiv w:val="1"/>
      <w:marLeft w:val="0"/>
      <w:marRight w:val="0"/>
      <w:marTop w:val="0"/>
      <w:marBottom w:val="0"/>
      <w:divBdr>
        <w:top w:val="none" w:sz="0" w:space="0" w:color="auto"/>
        <w:left w:val="none" w:sz="0" w:space="0" w:color="auto"/>
        <w:bottom w:val="none" w:sz="0" w:space="0" w:color="auto"/>
        <w:right w:val="none" w:sz="0" w:space="0" w:color="auto"/>
      </w:divBdr>
      <w:divsChild>
        <w:div w:id="68507760">
          <w:marLeft w:val="547"/>
          <w:marRight w:val="0"/>
          <w:marTop w:val="60"/>
          <w:marBottom w:val="0"/>
          <w:divBdr>
            <w:top w:val="none" w:sz="0" w:space="0" w:color="auto"/>
            <w:left w:val="none" w:sz="0" w:space="0" w:color="auto"/>
            <w:bottom w:val="none" w:sz="0" w:space="0" w:color="auto"/>
            <w:right w:val="none" w:sz="0" w:space="0" w:color="auto"/>
          </w:divBdr>
        </w:div>
      </w:divsChild>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002387861">
      <w:bodyDiv w:val="1"/>
      <w:marLeft w:val="0"/>
      <w:marRight w:val="0"/>
      <w:marTop w:val="0"/>
      <w:marBottom w:val="0"/>
      <w:divBdr>
        <w:top w:val="none" w:sz="0" w:space="0" w:color="auto"/>
        <w:left w:val="none" w:sz="0" w:space="0" w:color="auto"/>
        <w:bottom w:val="none" w:sz="0" w:space="0" w:color="auto"/>
        <w:right w:val="none" w:sz="0" w:space="0" w:color="auto"/>
      </w:divBdr>
    </w:div>
    <w:div w:id="2005552624">
      <w:bodyDiv w:val="1"/>
      <w:marLeft w:val="0"/>
      <w:marRight w:val="0"/>
      <w:marTop w:val="0"/>
      <w:marBottom w:val="0"/>
      <w:divBdr>
        <w:top w:val="none" w:sz="0" w:space="0" w:color="auto"/>
        <w:left w:val="none" w:sz="0" w:space="0" w:color="auto"/>
        <w:bottom w:val="none" w:sz="0" w:space="0" w:color="auto"/>
        <w:right w:val="none" w:sz="0" w:space="0" w:color="auto"/>
      </w:divBdr>
      <w:divsChild>
        <w:div w:id="861434401">
          <w:marLeft w:val="1267"/>
          <w:marRight w:val="0"/>
          <w:marTop w:val="0"/>
          <w:marBottom w:val="0"/>
          <w:divBdr>
            <w:top w:val="none" w:sz="0" w:space="0" w:color="auto"/>
            <w:left w:val="none" w:sz="0" w:space="0" w:color="auto"/>
            <w:bottom w:val="none" w:sz="0" w:space="0" w:color="auto"/>
            <w:right w:val="none" w:sz="0" w:space="0" w:color="auto"/>
          </w:divBdr>
        </w:div>
        <w:div w:id="1254971239">
          <w:marLeft w:val="1267"/>
          <w:marRight w:val="0"/>
          <w:marTop w:val="0"/>
          <w:marBottom w:val="0"/>
          <w:divBdr>
            <w:top w:val="none" w:sz="0" w:space="0" w:color="auto"/>
            <w:left w:val="none" w:sz="0" w:space="0" w:color="auto"/>
            <w:bottom w:val="none" w:sz="0" w:space="0" w:color="auto"/>
            <w:right w:val="none" w:sz="0" w:space="0" w:color="auto"/>
          </w:divBdr>
        </w:div>
        <w:div w:id="59525843">
          <w:marLeft w:val="1267"/>
          <w:marRight w:val="0"/>
          <w:marTop w:val="0"/>
          <w:marBottom w:val="0"/>
          <w:divBdr>
            <w:top w:val="none" w:sz="0" w:space="0" w:color="auto"/>
            <w:left w:val="none" w:sz="0" w:space="0" w:color="auto"/>
            <w:bottom w:val="none" w:sz="0" w:space="0" w:color="auto"/>
            <w:right w:val="none" w:sz="0" w:space="0" w:color="auto"/>
          </w:divBdr>
        </w:div>
        <w:div w:id="1551648039">
          <w:marLeft w:val="1267"/>
          <w:marRight w:val="0"/>
          <w:marTop w:val="0"/>
          <w:marBottom w:val="0"/>
          <w:divBdr>
            <w:top w:val="none" w:sz="0" w:space="0" w:color="auto"/>
            <w:left w:val="none" w:sz="0" w:space="0" w:color="auto"/>
            <w:bottom w:val="none" w:sz="0" w:space="0" w:color="auto"/>
            <w:right w:val="none" w:sz="0" w:space="0" w:color="auto"/>
          </w:divBdr>
        </w:div>
        <w:div w:id="670184089">
          <w:marLeft w:val="1267"/>
          <w:marRight w:val="0"/>
          <w:marTop w:val="0"/>
          <w:marBottom w:val="0"/>
          <w:divBdr>
            <w:top w:val="none" w:sz="0" w:space="0" w:color="auto"/>
            <w:left w:val="none" w:sz="0" w:space="0" w:color="auto"/>
            <w:bottom w:val="none" w:sz="0" w:space="0" w:color="auto"/>
            <w:right w:val="none" w:sz="0" w:space="0" w:color="auto"/>
          </w:divBdr>
        </w:div>
        <w:div w:id="1091437113">
          <w:marLeft w:val="1267"/>
          <w:marRight w:val="0"/>
          <w:marTop w:val="0"/>
          <w:marBottom w:val="0"/>
          <w:divBdr>
            <w:top w:val="none" w:sz="0" w:space="0" w:color="auto"/>
            <w:left w:val="none" w:sz="0" w:space="0" w:color="auto"/>
            <w:bottom w:val="none" w:sz="0" w:space="0" w:color="auto"/>
            <w:right w:val="none" w:sz="0" w:space="0" w:color="auto"/>
          </w:divBdr>
        </w:div>
        <w:div w:id="1899591962">
          <w:marLeft w:val="547"/>
          <w:marRight w:val="0"/>
          <w:marTop w:val="0"/>
          <w:marBottom w:val="0"/>
          <w:divBdr>
            <w:top w:val="none" w:sz="0" w:space="0" w:color="auto"/>
            <w:left w:val="none" w:sz="0" w:space="0" w:color="auto"/>
            <w:bottom w:val="none" w:sz="0" w:space="0" w:color="auto"/>
            <w:right w:val="none" w:sz="0" w:space="0" w:color="auto"/>
          </w:divBdr>
        </w:div>
      </w:divsChild>
    </w:div>
    <w:div w:id="2062363949">
      <w:bodyDiv w:val="1"/>
      <w:marLeft w:val="0"/>
      <w:marRight w:val="0"/>
      <w:marTop w:val="0"/>
      <w:marBottom w:val="0"/>
      <w:divBdr>
        <w:top w:val="none" w:sz="0" w:space="0" w:color="auto"/>
        <w:left w:val="none" w:sz="0" w:space="0" w:color="auto"/>
        <w:bottom w:val="none" w:sz="0" w:space="0" w:color="auto"/>
        <w:right w:val="none" w:sz="0" w:space="0" w:color="auto"/>
      </w:divBdr>
    </w:div>
    <w:div w:id="2068605532">
      <w:bodyDiv w:val="1"/>
      <w:marLeft w:val="0"/>
      <w:marRight w:val="0"/>
      <w:marTop w:val="0"/>
      <w:marBottom w:val="0"/>
      <w:divBdr>
        <w:top w:val="none" w:sz="0" w:space="0" w:color="auto"/>
        <w:left w:val="none" w:sz="0" w:space="0" w:color="auto"/>
        <w:bottom w:val="none" w:sz="0" w:space="0" w:color="auto"/>
        <w:right w:val="none" w:sz="0" w:space="0" w:color="auto"/>
      </w:divBdr>
    </w:div>
    <w:div w:id="2069186524">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F538A-7B2B-412D-97F2-9F61F4CB2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4437</Words>
  <Characters>25296</Characters>
  <Application>Microsoft Office Word</Application>
  <DocSecurity>0</DocSecurity>
  <Lines>210</Lines>
  <Paragraphs>59</Paragraphs>
  <ScaleCrop>false</ScaleCrop>
  <Company>www.zte.com.cn</Company>
  <LinksUpToDate>false</LinksUpToDate>
  <CharactersWithSpaces>29674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cp:lastModifiedBy>
  <cp:revision>40</cp:revision>
  <cp:lastPrinted>2113-01-01T00:00:00Z</cp:lastPrinted>
  <dcterms:created xsi:type="dcterms:W3CDTF">2025-08-15T06:50:00Z</dcterms:created>
  <dcterms:modified xsi:type="dcterms:W3CDTF">2025-08-15T09:12:00Z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